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E208C" w14:textId="77777777" w:rsidR="006C3DE3" w:rsidRPr="00322F60" w:rsidRDefault="00E52F2F" w:rsidP="000B77DF">
      <w:pPr>
        <w:pStyle w:val="Nzev1"/>
        <w:rPr>
          <w:lang w:val="en-GB"/>
        </w:rPr>
      </w:pPr>
      <w:r w:rsidRPr="00322F60">
        <w:rPr>
          <w:lang w:val="en-GB"/>
        </w:rPr>
        <w:t>Magnetocrystalline anisotropy of Ni-Mn-Ga-Co-Cu martensite</w:t>
      </w:r>
    </w:p>
    <w:p w14:paraId="5153827C" w14:textId="77777777" w:rsidR="00D31D32" w:rsidRPr="00322F60" w:rsidRDefault="005E525A" w:rsidP="000B77DF">
      <w:pPr>
        <w:pStyle w:val="Autoi"/>
        <w:rPr>
          <w:lang w:val="en-GB"/>
        </w:rPr>
      </w:pPr>
      <w:r w:rsidRPr="00322F60">
        <w:rPr>
          <w:lang w:val="en-GB"/>
        </w:rPr>
        <w:t>Michal Rameš</w:t>
      </w:r>
      <w:r w:rsidR="006C3DE3" w:rsidRPr="00322F60">
        <w:rPr>
          <w:vertAlign w:val="superscript"/>
          <w:lang w:val="en-GB"/>
        </w:rPr>
        <w:t>1</w:t>
      </w:r>
      <w:r w:rsidRPr="00322F60">
        <w:rPr>
          <w:vertAlign w:val="superscript"/>
          <w:lang w:val="en-GB"/>
        </w:rPr>
        <w:t>,2</w:t>
      </w:r>
      <w:r w:rsidR="002F7D14" w:rsidRPr="00322F60">
        <w:rPr>
          <w:lang w:val="en-GB"/>
        </w:rPr>
        <w:t>,</w:t>
      </w:r>
      <w:r w:rsidRPr="00322F60">
        <w:rPr>
          <w:lang w:val="en-GB"/>
        </w:rPr>
        <w:t xml:space="preserve"> Ladislav Straka</w:t>
      </w:r>
      <w:r w:rsidRPr="00322F60">
        <w:rPr>
          <w:vertAlign w:val="superscript"/>
          <w:lang w:val="en-GB"/>
        </w:rPr>
        <w:t>2</w:t>
      </w:r>
      <w:r w:rsidRPr="00322F60">
        <w:rPr>
          <w:lang w:val="en-GB"/>
        </w:rPr>
        <w:t>, Alexei Sozinov</w:t>
      </w:r>
      <w:r w:rsidRPr="00322F60">
        <w:rPr>
          <w:vertAlign w:val="superscript"/>
          <w:lang w:val="en-GB"/>
        </w:rPr>
        <w:t>3</w:t>
      </w:r>
      <w:r w:rsidR="009B20D7">
        <w:rPr>
          <w:lang w:val="en-GB"/>
        </w:rPr>
        <w:t xml:space="preserve">, </w:t>
      </w:r>
      <w:r w:rsidR="009B20D7" w:rsidRPr="00322F60">
        <w:rPr>
          <w:lang w:val="en-GB"/>
        </w:rPr>
        <w:t>Oleg Heczko</w:t>
      </w:r>
      <w:r w:rsidR="009B20D7" w:rsidRPr="00322F60">
        <w:rPr>
          <w:vertAlign w:val="superscript"/>
          <w:lang w:val="en-GB"/>
        </w:rPr>
        <w:t>2</w:t>
      </w:r>
    </w:p>
    <w:p w14:paraId="0BC1B0E8" w14:textId="77777777" w:rsidR="002F7D14" w:rsidRPr="00322F60" w:rsidRDefault="002F7D14" w:rsidP="00DD795B">
      <w:pPr>
        <w:pStyle w:val="Instituce"/>
        <w:rPr>
          <w:vertAlign w:val="superscript"/>
          <w:lang w:val="en-GB"/>
        </w:rPr>
      </w:pPr>
      <w:r w:rsidRPr="00322F60">
        <w:rPr>
          <w:vertAlign w:val="superscript"/>
          <w:lang w:val="en-GB"/>
        </w:rPr>
        <w:t>1</w:t>
      </w:r>
      <w:r w:rsidR="005E525A" w:rsidRPr="00322F60">
        <w:rPr>
          <w:lang w:val="en-GB"/>
        </w:rPr>
        <w:t>Department of Solid State Engineering</w:t>
      </w:r>
      <w:r w:rsidR="006C3DE3" w:rsidRPr="00322F60">
        <w:rPr>
          <w:lang w:val="en-GB"/>
        </w:rPr>
        <w:t xml:space="preserve">, </w:t>
      </w:r>
      <w:r w:rsidR="005E525A" w:rsidRPr="00322F60">
        <w:rPr>
          <w:lang w:val="en-GB"/>
        </w:rPr>
        <w:t xml:space="preserve">Faculty of Nuclear Sciences and Physical </w:t>
      </w:r>
      <w:proofErr w:type="gramStart"/>
      <w:r w:rsidR="005E525A" w:rsidRPr="00322F60">
        <w:rPr>
          <w:lang w:val="en-GB"/>
        </w:rPr>
        <w:t>Engineering</w:t>
      </w:r>
      <w:r w:rsidRPr="00322F60">
        <w:rPr>
          <w:lang w:val="en-GB"/>
        </w:rPr>
        <w:t>,</w:t>
      </w:r>
      <w:r w:rsidR="005E525A" w:rsidRPr="00322F60">
        <w:rPr>
          <w:lang w:val="en-GB"/>
        </w:rPr>
        <w:t>Czech</w:t>
      </w:r>
      <w:proofErr w:type="gramEnd"/>
      <w:r w:rsidR="005E525A" w:rsidRPr="00322F60">
        <w:rPr>
          <w:lang w:val="en-GB"/>
        </w:rPr>
        <w:t xml:space="preserve"> Technical University in Prague</w:t>
      </w:r>
      <w:r w:rsidR="00B3664F" w:rsidRPr="00322F60">
        <w:rPr>
          <w:lang w:val="en-GB"/>
        </w:rPr>
        <w:t>, Prague, CZ-115 19, Czech Republic</w:t>
      </w:r>
    </w:p>
    <w:p w14:paraId="20AC704D" w14:textId="77777777" w:rsidR="005E525A" w:rsidRPr="00322F60" w:rsidRDefault="006C3DE3" w:rsidP="002A64FA">
      <w:pPr>
        <w:pStyle w:val="Instituce"/>
        <w:rPr>
          <w:lang w:val="en-GB"/>
        </w:rPr>
      </w:pPr>
      <w:r w:rsidRPr="00322F60">
        <w:rPr>
          <w:vertAlign w:val="superscript"/>
          <w:lang w:val="en-GB"/>
        </w:rPr>
        <w:t>2</w:t>
      </w:r>
      <w:r w:rsidR="005E525A" w:rsidRPr="00322F60">
        <w:rPr>
          <w:lang w:val="en-GB"/>
        </w:rPr>
        <w:t>Department of Magnetic Materials and Measurements, FZU – Institute of Physics CAS</w:t>
      </w:r>
      <w:r w:rsidR="00B3664F" w:rsidRPr="00322F60">
        <w:rPr>
          <w:lang w:val="en-GB"/>
        </w:rPr>
        <w:t>, Prague, CZ-182 21, Czech Republic</w:t>
      </w:r>
    </w:p>
    <w:p w14:paraId="125D0069" w14:textId="77777777" w:rsidR="005E525A" w:rsidRPr="00322F60" w:rsidRDefault="005E525A" w:rsidP="002A64FA">
      <w:pPr>
        <w:pStyle w:val="Instituce"/>
        <w:rPr>
          <w:lang w:val="en-GB"/>
        </w:rPr>
      </w:pPr>
      <w:r w:rsidRPr="00322F60">
        <w:rPr>
          <w:vertAlign w:val="superscript"/>
          <w:lang w:val="en-GB"/>
        </w:rPr>
        <w:t>3</w:t>
      </w:r>
      <w:r w:rsidRPr="00322F60">
        <w:rPr>
          <w:lang w:val="en-GB"/>
        </w:rPr>
        <w:t>LUT University, Lappeenranta</w:t>
      </w:r>
      <w:r w:rsidR="00B3664F" w:rsidRPr="00322F60">
        <w:rPr>
          <w:lang w:val="en-GB"/>
        </w:rPr>
        <w:t>, 538 50, Finland</w:t>
      </w:r>
    </w:p>
    <w:p w14:paraId="14E565BC" w14:textId="77777777" w:rsidR="005A3929" w:rsidRPr="00322F60" w:rsidRDefault="005E525A" w:rsidP="002A64FA">
      <w:pPr>
        <w:pStyle w:val="Instituce"/>
        <w:rPr>
          <w:lang w:val="en-GB"/>
        </w:rPr>
      </w:pPr>
      <w:r w:rsidRPr="00322F60">
        <w:rPr>
          <w:lang w:val="en-GB"/>
        </w:rPr>
        <w:t>michal</w:t>
      </w:r>
      <w:r w:rsidR="002A64FA" w:rsidRPr="00322F60">
        <w:rPr>
          <w:lang w:val="en-GB"/>
        </w:rPr>
        <w:t>.</w:t>
      </w:r>
      <w:r w:rsidRPr="00322F60">
        <w:rPr>
          <w:lang w:val="en-GB"/>
        </w:rPr>
        <w:t>rames</w:t>
      </w:r>
      <w:r w:rsidR="00DF1ACE">
        <w:rPr>
          <w:lang w:val="en-GB"/>
        </w:rPr>
        <w:t>@fjfi.cvut.cz</w:t>
      </w:r>
    </w:p>
    <w:p w14:paraId="3F7C8981" w14:textId="4757753B" w:rsidR="00CB4BB2" w:rsidRPr="00322F60" w:rsidRDefault="00B65FA1" w:rsidP="000B77DF">
      <w:pPr>
        <w:pStyle w:val="Abstrakt-nadpis"/>
        <w:rPr>
          <w:lang w:val="en-GB"/>
        </w:rPr>
      </w:pPr>
      <w:r w:rsidRPr="00322F60">
        <w:rPr>
          <w:lang w:val="en-GB"/>
        </w:rPr>
        <w:t>Abstract</w:t>
      </w:r>
    </w:p>
    <w:p w14:paraId="27B3FA26" w14:textId="1B235A8B" w:rsidR="00646772" w:rsidRPr="00322F60" w:rsidRDefault="001E262D" w:rsidP="00646772">
      <w:pPr>
        <w:pStyle w:val="Abstrak-tlo"/>
        <w:rPr>
          <w:lang w:val="en-GB"/>
        </w:rPr>
      </w:pPr>
      <w:r w:rsidRPr="00322F60">
        <w:rPr>
          <w:lang w:val="en-GB"/>
        </w:rPr>
        <w:t>The martensites of Heusler alloys based on Ni-Mn-Ga exhibit magnetically</w:t>
      </w:r>
      <w:r w:rsidR="006905A3">
        <w:rPr>
          <w:lang w:val="en-GB"/>
        </w:rPr>
        <w:t>-</w:t>
      </w:r>
      <w:r w:rsidRPr="00322F60">
        <w:rPr>
          <w:lang w:val="en-GB"/>
        </w:rPr>
        <w:t>induced reorientation resulting in giant field</w:t>
      </w:r>
      <w:r w:rsidR="006905A3">
        <w:rPr>
          <w:lang w:val="en-GB"/>
        </w:rPr>
        <w:t>-</w:t>
      </w:r>
      <w:r w:rsidRPr="00322F60">
        <w:rPr>
          <w:lang w:val="en-GB"/>
        </w:rPr>
        <w:t>induced strain</w:t>
      </w:r>
      <w:r w:rsidR="00B11608">
        <w:rPr>
          <w:lang w:val="en-GB"/>
        </w:rPr>
        <w:t>. U</w:t>
      </w:r>
      <w:r w:rsidRPr="00322F60">
        <w:rPr>
          <w:lang w:val="en-GB"/>
        </w:rPr>
        <w:t xml:space="preserve">p to 12 % </w:t>
      </w:r>
      <w:r w:rsidR="00B11608">
        <w:rPr>
          <w:lang w:val="en-GB"/>
        </w:rPr>
        <w:t xml:space="preserve">strain was observed </w:t>
      </w:r>
      <w:r w:rsidRPr="00322F60">
        <w:rPr>
          <w:lang w:val="en-GB"/>
        </w:rPr>
        <w:t xml:space="preserve">in Ni-Mn-Ga-Co-Cu with 4 </w:t>
      </w:r>
      <w:proofErr w:type="gramStart"/>
      <w:r w:rsidRPr="00322F60">
        <w:rPr>
          <w:lang w:val="en-GB"/>
        </w:rPr>
        <w:t>at.%</w:t>
      </w:r>
      <w:proofErr w:type="gramEnd"/>
      <w:r w:rsidRPr="00322F60">
        <w:rPr>
          <w:lang w:val="en-GB"/>
        </w:rPr>
        <w:t xml:space="preserve"> of Co and Cu. </w:t>
      </w:r>
      <w:r w:rsidR="00B11608">
        <w:rPr>
          <w:lang w:val="en-GB"/>
        </w:rPr>
        <w:t>T</w:t>
      </w:r>
      <w:r w:rsidRPr="00322F60">
        <w:rPr>
          <w:lang w:val="en-GB"/>
        </w:rPr>
        <w:t xml:space="preserve">he driving force of the phenomenon is the </w:t>
      </w:r>
      <w:proofErr w:type="spellStart"/>
      <w:r w:rsidRPr="00322F60">
        <w:rPr>
          <w:lang w:val="en-GB"/>
        </w:rPr>
        <w:t>magnetocrystalline</w:t>
      </w:r>
      <w:proofErr w:type="spellEnd"/>
      <w:r w:rsidRPr="00322F60">
        <w:rPr>
          <w:lang w:val="en-GB"/>
        </w:rPr>
        <w:t xml:space="preserve"> anisotropy</w:t>
      </w:r>
      <w:r w:rsidR="00B11608">
        <w:rPr>
          <w:lang w:val="en-GB"/>
        </w:rPr>
        <w:t xml:space="preserve">. We </w:t>
      </w:r>
      <w:r w:rsidRPr="00322F60">
        <w:rPr>
          <w:lang w:val="en-GB"/>
        </w:rPr>
        <w:t xml:space="preserve">studied the evolution of </w:t>
      </w:r>
      <w:r w:rsidR="00993CEC">
        <w:rPr>
          <w:lang w:val="en-GB"/>
        </w:rPr>
        <w:t>the anisotropy</w:t>
      </w:r>
      <w:r w:rsidR="00B11608">
        <w:rPr>
          <w:lang w:val="en-GB"/>
        </w:rPr>
        <w:t xml:space="preserve"> with temperature and compositions</w:t>
      </w:r>
      <w:r w:rsidRPr="00322F60">
        <w:rPr>
          <w:lang w:val="en-GB"/>
        </w:rPr>
        <w:t xml:space="preserve"> </w:t>
      </w:r>
      <w:r w:rsidR="00B11608">
        <w:rPr>
          <w:lang w:val="en-GB"/>
        </w:rPr>
        <w:t>using magnetization curve measurements</w:t>
      </w:r>
      <w:r w:rsidR="00B11608" w:rsidRPr="00322F60">
        <w:rPr>
          <w:lang w:val="en-GB"/>
        </w:rPr>
        <w:t xml:space="preserve"> </w:t>
      </w:r>
      <w:r w:rsidRPr="00322F60">
        <w:rPr>
          <w:lang w:val="en-GB"/>
        </w:rPr>
        <w:t xml:space="preserve">in </w:t>
      </w:r>
      <w:r w:rsidR="00B11608">
        <w:rPr>
          <w:lang w:val="en-GB"/>
        </w:rPr>
        <w:t xml:space="preserve">four </w:t>
      </w:r>
      <w:r w:rsidRPr="00322F60">
        <w:rPr>
          <w:lang w:val="en-GB"/>
        </w:rPr>
        <w:t xml:space="preserve">different single crystalline Ni-Mn-Ga-Co-Cu and compared with pure Ni-Mn-Ga. </w:t>
      </w:r>
      <w:r w:rsidR="00B11608">
        <w:rPr>
          <w:lang w:val="en-GB"/>
        </w:rPr>
        <w:t xml:space="preserve">The anisotropy of martensite decreases with increasing </w:t>
      </w:r>
      <w:r w:rsidR="00AD57B6">
        <w:rPr>
          <w:lang w:val="en-GB"/>
        </w:rPr>
        <w:t xml:space="preserve">average </w:t>
      </w:r>
      <w:r w:rsidR="00B11608">
        <w:rPr>
          <w:lang w:val="en-GB"/>
        </w:rPr>
        <w:t>doping (</w:t>
      </w:r>
      <w:proofErr w:type="spellStart"/>
      <w:r w:rsidR="00B11608">
        <w:rPr>
          <w:lang w:val="en-GB"/>
        </w:rPr>
        <w:t>Cu+Co</w:t>
      </w:r>
      <w:proofErr w:type="spellEnd"/>
      <w:r w:rsidR="00B11608">
        <w:rPr>
          <w:lang w:val="en-GB"/>
        </w:rPr>
        <w:t>)</w:t>
      </w:r>
      <w:r w:rsidR="00AD57B6">
        <w:rPr>
          <w:lang w:val="en-GB"/>
        </w:rPr>
        <w:t>/2</w:t>
      </w:r>
      <w:r w:rsidR="00B11608">
        <w:rPr>
          <w:lang w:val="en-GB"/>
        </w:rPr>
        <w:t xml:space="preserve"> but it does not scale with valence electron concentration or tetragonal ratio.</w:t>
      </w:r>
    </w:p>
    <w:p w14:paraId="3E9046F1" w14:textId="77777777" w:rsidR="00ED2994" w:rsidRPr="00322F60" w:rsidRDefault="00322F60" w:rsidP="000B77DF">
      <w:pPr>
        <w:pStyle w:val="Klovslova"/>
        <w:rPr>
          <w:lang w:val="en-GB"/>
        </w:rPr>
      </w:pPr>
      <w:r>
        <w:rPr>
          <w:b/>
          <w:lang w:val="en-GB"/>
        </w:rPr>
        <w:t>Keywords</w:t>
      </w:r>
      <w:r w:rsidR="00CB4BB2" w:rsidRPr="00322F60">
        <w:rPr>
          <w:lang w:val="en-GB"/>
        </w:rPr>
        <w:t xml:space="preserve">: </w:t>
      </w:r>
      <w:r w:rsidR="001E262D" w:rsidRPr="00322F60">
        <w:rPr>
          <w:lang w:val="en-GB"/>
        </w:rPr>
        <w:t>Martensite</w:t>
      </w:r>
      <w:r w:rsidR="00A5021A" w:rsidRPr="00322F60">
        <w:rPr>
          <w:lang w:val="en-GB"/>
        </w:rPr>
        <w:t xml:space="preserve">; </w:t>
      </w:r>
      <w:r w:rsidR="001E262D" w:rsidRPr="00322F60">
        <w:rPr>
          <w:lang w:val="en-GB"/>
        </w:rPr>
        <w:t>Magnetocrystalline anisotropy</w:t>
      </w:r>
      <w:r w:rsidR="00A5021A" w:rsidRPr="00322F60">
        <w:rPr>
          <w:lang w:val="en-GB"/>
        </w:rPr>
        <w:t xml:space="preserve">; </w:t>
      </w:r>
      <w:r w:rsidR="001E262D" w:rsidRPr="00322F60">
        <w:rPr>
          <w:lang w:val="en-GB"/>
        </w:rPr>
        <w:t>Heusler alloys</w:t>
      </w:r>
      <w:r w:rsidR="00B11608">
        <w:rPr>
          <w:lang w:val="en-GB"/>
        </w:rPr>
        <w:t>, Ni-Mn-Ga</w:t>
      </w:r>
      <w:r w:rsidR="00A5021A" w:rsidRPr="00322F60">
        <w:rPr>
          <w:lang w:val="en-GB"/>
        </w:rPr>
        <w:t>.</w:t>
      </w:r>
    </w:p>
    <w:p w14:paraId="3FFE5BCD" w14:textId="77777777" w:rsidR="00CB4BB2" w:rsidRPr="00322F60" w:rsidRDefault="00630841" w:rsidP="00562DC5">
      <w:pPr>
        <w:pStyle w:val="Title2"/>
        <w:rPr>
          <w:lang w:val="en-GB"/>
        </w:rPr>
      </w:pPr>
      <w:r w:rsidRPr="00322F60">
        <w:rPr>
          <w:lang w:val="en-GB"/>
        </w:rPr>
        <w:t>Introduction</w:t>
      </w:r>
    </w:p>
    <w:p w14:paraId="1C148F8E" w14:textId="651D9AD2" w:rsidR="00255555" w:rsidRPr="00273B69" w:rsidRDefault="00B3664F" w:rsidP="00255555">
      <w:pPr>
        <w:pStyle w:val="Text-1odstavec"/>
        <w:rPr>
          <w:lang w:val="en-US"/>
        </w:rPr>
      </w:pPr>
      <w:r w:rsidRPr="00322F60">
        <w:rPr>
          <w:lang w:val="en-GB"/>
        </w:rPr>
        <w:t xml:space="preserve">Ni-Mn-Ga is a Heusler alloy which </w:t>
      </w:r>
      <w:r w:rsidR="00B11608">
        <w:rPr>
          <w:lang w:val="en-GB"/>
        </w:rPr>
        <w:t>can be considered</w:t>
      </w:r>
      <w:r w:rsidRPr="00322F60">
        <w:rPr>
          <w:lang w:val="en-GB"/>
        </w:rPr>
        <w:t xml:space="preserve"> as </w:t>
      </w:r>
      <w:r w:rsidR="00B11608">
        <w:rPr>
          <w:lang w:val="en-GB"/>
        </w:rPr>
        <w:t xml:space="preserve">a </w:t>
      </w:r>
      <w:r w:rsidRPr="00322F60">
        <w:rPr>
          <w:lang w:val="en-GB"/>
        </w:rPr>
        <w:t xml:space="preserve">prototype of </w:t>
      </w:r>
      <w:r w:rsidR="008627C8" w:rsidRPr="00322F60">
        <w:rPr>
          <w:lang w:val="en-GB"/>
        </w:rPr>
        <w:t>magnetic shape memory alloys. One of the magnetic shape memory phenomena is the magnetic-field</w:t>
      </w:r>
      <w:r w:rsidR="00504D98">
        <w:rPr>
          <w:lang w:val="en-GB"/>
        </w:rPr>
        <w:t>-</w:t>
      </w:r>
      <w:r w:rsidR="008627C8" w:rsidRPr="00322F60">
        <w:rPr>
          <w:lang w:val="en-GB"/>
        </w:rPr>
        <w:t>induced strain</w:t>
      </w:r>
      <w:r w:rsidR="00C1295C">
        <w:rPr>
          <w:lang w:val="en-GB"/>
        </w:rPr>
        <w:t xml:space="preserve"> (MFIS)</w:t>
      </w:r>
      <w:r w:rsidR="009F320B">
        <w:rPr>
          <w:lang w:val="en-GB"/>
        </w:rPr>
        <w:t xml:space="preserve"> [</w:t>
      </w:r>
      <w:r w:rsidR="003F762E">
        <w:rPr>
          <w:lang w:val="en-GB"/>
        </w:rPr>
        <w:t>1</w:t>
      </w:r>
      <w:r w:rsidR="009F320B">
        <w:rPr>
          <w:lang w:val="en-GB"/>
        </w:rPr>
        <w:t>]. MFIS strain</w:t>
      </w:r>
      <w:r w:rsidR="008627C8" w:rsidRPr="00322F60">
        <w:rPr>
          <w:lang w:val="en-GB"/>
        </w:rPr>
        <w:t xml:space="preserve"> highly exceeds that obtained as a result of magnetostriction and occurs only in martensitic phase. Martensitic transformation temperature in Ni-Mn-Ga alloys depends </w:t>
      </w:r>
      <w:r w:rsidR="00322F60">
        <w:rPr>
          <w:lang w:val="en-GB"/>
        </w:rPr>
        <w:t xml:space="preserve">on their chemical composition. </w:t>
      </w:r>
      <w:r w:rsidR="00273B69">
        <w:rPr>
          <w:lang w:val="en-GB"/>
        </w:rPr>
        <w:t xml:space="preserve">It was found that copper doping </w:t>
      </w:r>
      <w:r w:rsidR="0063234A">
        <w:rPr>
          <w:lang w:val="en-GB"/>
        </w:rPr>
        <w:t xml:space="preserve">of Ni-Mn-Ga </w:t>
      </w:r>
      <w:r w:rsidR="00273B69">
        <w:rPr>
          <w:lang w:val="en-GB"/>
        </w:rPr>
        <w:t xml:space="preserve">can increase the martensitic transition </w:t>
      </w:r>
      <w:r w:rsidR="00AD57B6">
        <w:rPr>
          <w:lang w:val="en-GB"/>
        </w:rPr>
        <w:t>temperature</w:t>
      </w:r>
      <w:r w:rsidR="00273B69">
        <w:rPr>
          <w:lang w:val="en-GB"/>
        </w:rPr>
        <w:t xml:space="preserve">, but also decreases the saturation magnetization </w:t>
      </w:r>
      <w:r w:rsidR="00273B69" w:rsidRPr="00273B69">
        <w:rPr>
          <w:i/>
          <w:iCs/>
          <w:lang w:val="en-GB"/>
        </w:rPr>
        <w:t>M</w:t>
      </w:r>
      <w:r w:rsidR="00273B69" w:rsidRPr="00273B69">
        <w:rPr>
          <w:vertAlign w:val="subscript"/>
          <w:lang w:val="en-GB"/>
        </w:rPr>
        <w:t>s</w:t>
      </w:r>
      <w:r w:rsidR="00273B69">
        <w:rPr>
          <w:lang w:val="en-GB"/>
        </w:rPr>
        <w:t xml:space="preserve">. The </w:t>
      </w:r>
      <w:r w:rsidR="00273B69" w:rsidRPr="00C1295C">
        <w:rPr>
          <w:i/>
          <w:iCs/>
          <w:lang w:val="en-GB"/>
        </w:rPr>
        <w:t>M</w:t>
      </w:r>
      <w:r w:rsidR="00273B69" w:rsidRPr="00C1295C">
        <w:rPr>
          <w:vertAlign w:val="subscript"/>
          <w:lang w:val="en-GB"/>
        </w:rPr>
        <w:t>s</w:t>
      </w:r>
      <w:r w:rsidR="00273B69">
        <w:rPr>
          <w:lang w:val="en-GB"/>
        </w:rPr>
        <w:t xml:space="preserve"> decrease can be compensated by additional cobalt doping. </w:t>
      </w:r>
      <w:r w:rsidR="00C1295C">
        <w:rPr>
          <w:lang w:val="en-GB"/>
        </w:rPr>
        <w:t xml:space="preserve">The composition affects the martensite structure as </w:t>
      </w:r>
      <w:proofErr w:type="gramStart"/>
      <w:r w:rsidR="00C1295C">
        <w:rPr>
          <w:lang w:val="en-GB"/>
        </w:rPr>
        <w:t>well, and</w:t>
      </w:r>
      <w:proofErr w:type="gramEnd"/>
      <w:r w:rsidR="00C1295C">
        <w:rPr>
          <w:lang w:val="en-GB"/>
        </w:rPr>
        <w:t xml:space="preserve"> can lead to modulated (10M or 14M) structure, non-modulated (NM) structure, commensurate or incommensurate structures. The 10M and NM </w:t>
      </w:r>
      <w:proofErr w:type="spellStart"/>
      <w:r w:rsidR="00C1295C">
        <w:rPr>
          <w:lang w:val="en-GB"/>
        </w:rPr>
        <w:t>martensites</w:t>
      </w:r>
      <w:proofErr w:type="spellEnd"/>
      <w:r w:rsidR="00C1295C">
        <w:rPr>
          <w:lang w:val="en-GB"/>
        </w:rPr>
        <w:t xml:space="preserve"> can be modelled as tetragonal crystals with lattice parameters </w:t>
      </w:r>
      <w:r w:rsidR="00C1295C" w:rsidRPr="00C1295C">
        <w:rPr>
          <w:i/>
          <w:iCs/>
          <w:lang w:val="en-GB"/>
        </w:rPr>
        <w:t>a</w:t>
      </w:r>
      <w:r w:rsidR="00C1295C">
        <w:rPr>
          <w:lang w:val="en-GB"/>
        </w:rPr>
        <w:t xml:space="preserve"> and </w:t>
      </w:r>
      <w:r w:rsidR="00C1295C" w:rsidRPr="00C1295C">
        <w:rPr>
          <w:i/>
          <w:iCs/>
          <w:lang w:val="en-GB"/>
        </w:rPr>
        <w:t>c</w:t>
      </w:r>
      <w:r w:rsidR="00C1295C">
        <w:rPr>
          <w:lang w:val="en-GB"/>
        </w:rPr>
        <w:t xml:space="preserve"> with </w:t>
      </w:r>
      <w:r w:rsidR="00C1295C" w:rsidRPr="00C1295C">
        <w:rPr>
          <w:i/>
          <w:iCs/>
          <w:lang w:val="en-GB"/>
        </w:rPr>
        <w:t>c</w:t>
      </w:r>
      <w:r w:rsidR="00842EE2">
        <w:rPr>
          <w:i/>
          <w:iCs/>
          <w:lang w:val="en-GB"/>
        </w:rPr>
        <w:t xml:space="preserve"> </w:t>
      </w:r>
      <w:r w:rsidR="00C1295C">
        <w:rPr>
          <w:lang w:val="en-US"/>
        </w:rPr>
        <w:t>&lt;</w:t>
      </w:r>
      <w:r w:rsidR="00842EE2">
        <w:rPr>
          <w:lang w:val="en-US"/>
        </w:rPr>
        <w:t xml:space="preserve"> </w:t>
      </w:r>
      <w:r w:rsidR="00C1295C" w:rsidRPr="00C1295C">
        <w:rPr>
          <w:i/>
          <w:iCs/>
          <w:lang w:val="en-US"/>
        </w:rPr>
        <w:t>a</w:t>
      </w:r>
      <w:r w:rsidR="00C1295C">
        <w:rPr>
          <w:lang w:val="en-US"/>
        </w:rPr>
        <w:t xml:space="preserve">, and </w:t>
      </w:r>
      <w:r w:rsidR="00C1295C" w:rsidRPr="00C1295C">
        <w:rPr>
          <w:i/>
          <w:iCs/>
          <w:lang w:val="en-US"/>
        </w:rPr>
        <w:t>c</w:t>
      </w:r>
      <w:r w:rsidR="00842EE2">
        <w:rPr>
          <w:i/>
          <w:iCs/>
          <w:lang w:val="en-US"/>
        </w:rPr>
        <w:t xml:space="preserve"> </w:t>
      </w:r>
      <w:r w:rsidR="00C1295C">
        <w:rPr>
          <w:lang w:val="en-US"/>
        </w:rPr>
        <w:t>&gt;</w:t>
      </w:r>
      <w:r w:rsidR="00842EE2">
        <w:rPr>
          <w:lang w:val="en-US"/>
        </w:rPr>
        <w:t xml:space="preserve"> </w:t>
      </w:r>
      <w:r w:rsidR="00C1295C" w:rsidRPr="00C1295C">
        <w:rPr>
          <w:i/>
          <w:iCs/>
          <w:lang w:val="en-US"/>
        </w:rPr>
        <w:t>a</w:t>
      </w:r>
      <w:r w:rsidR="00C1295C">
        <w:rPr>
          <w:lang w:val="en-US"/>
        </w:rPr>
        <w:t>, respectively.</w:t>
      </w:r>
      <w:r w:rsidR="009F320B">
        <w:rPr>
          <w:lang w:val="en-US"/>
        </w:rPr>
        <w:t xml:space="preserve"> </w:t>
      </w:r>
      <w:r w:rsidR="00273B69">
        <w:rPr>
          <w:lang w:val="en-GB"/>
        </w:rPr>
        <w:t>A breakthrough was achieved in Ni</w:t>
      </w:r>
      <w:r w:rsidR="00273B69" w:rsidRPr="00C1295C">
        <w:rPr>
          <w:vertAlign w:val="subscript"/>
          <w:lang w:val="en-GB"/>
        </w:rPr>
        <w:t>46</w:t>
      </w:r>
      <w:r w:rsidR="00273B69">
        <w:rPr>
          <w:lang w:val="en-GB"/>
        </w:rPr>
        <w:t>Mn</w:t>
      </w:r>
      <w:r w:rsidR="00273B69" w:rsidRPr="00C1295C">
        <w:rPr>
          <w:vertAlign w:val="subscript"/>
          <w:lang w:val="en-GB"/>
        </w:rPr>
        <w:t>2</w:t>
      </w:r>
      <w:r w:rsidR="00C1295C" w:rsidRPr="00C1295C">
        <w:rPr>
          <w:vertAlign w:val="subscript"/>
          <w:lang w:val="en-GB"/>
        </w:rPr>
        <w:t>4</w:t>
      </w:r>
      <w:r w:rsidR="00C1295C">
        <w:rPr>
          <w:lang w:val="en-GB"/>
        </w:rPr>
        <w:t>Ga</w:t>
      </w:r>
      <w:r w:rsidR="00C1295C" w:rsidRPr="00C1295C">
        <w:rPr>
          <w:vertAlign w:val="subscript"/>
          <w:lang w:val="en-GB"/>
        </w:rPr>
        <w:t>22</w:t>
      </w:r>
      <w:r w:rsidR="00C1295C">
        <w:rPr>
          <w:lang w:val="en-GB"/>
        </w:rPr>
        <w:t>Co</w:t>
      </w:r>
      <w:r w:rsidR="00C1295C" w:rsidRPr="00C1295C">
        <w:rPr>
          <w:vertAlign w:val="subscript"/>
          <w:lang w:val="en-GB"/>
        </w:rPr>
        <w:t>4</w:t>
      </w:r>
      <w:r w:rsidR="00C1295C">
        <w:rPr>
          <w:lang w:val="en-GB"/>
        </w:rPr>
        <w:t>Cu</w:t>
      </w:r>
      <w:r w:rsidR="00C1295C" w:rsidRPr="00C1295C">
        <w:rPr>
          <w:vertAlign w:val="subscript"/>
          <w:lang w:val="en-GB"/>
        </w:rPr>
        <w:t>4</w:t>
      </w:r>
      <w:r w:rsidR="00C1295C">
        <w:rPr>
          <w:lang w:val="en-GB"/>
        </w:rPr>
        <w:t xml:space="preserve"> alloy</w:t>
      </w:r>
      <w:r w:rsidR="00AF742B">
        <w:rPr>
          <w:lang w:val="en-GB"/>
        </w:rPr>
        <w:t xml:space="preserve"> with NM structure</w:t>
      </w:r>
      <w:r w:rsidR="00C1295C">
        <w:rPr>
          <w:lang w:val="en-GB"/>
        </w:rPr>
        <w:t>, where MFIS of 12% was reached</w:t>
      </w:r>
      <w:r w:rsidR="006A0142">
        <w:rPr>
          <w:lang w:val="en-GB"/>
        </w:rPr>
        <w:t xml:space="preserve"> [2</w:t>
      </w:r>
      <w:r w:rsidR="009F320B">
        <w:rPr>
          <w:lang w:val="en-GB"/>
        </w:rPr>
        <w:t>]</w:t>
      </w:r>
      <w:r w:rsidR="00C1295C">
        <w:rPr>
          <w:lang w:val="en-GB"/>
        </w:rPr>
        <w:t xml:space="preserve">. Driving force of MFIS is the magnetocrystalline anisotropy (MCA). In tetragonal crystals </w:t>
      </w:r>
      <w:r w:rsidR="00AF742B">
        <w:rPr>
          <w:lang w:val="en-GB"/>
        </w:rPr>
        <w:t xml:space="preserve">the anisotropy energy </w:t>
      </w:r>
      <w:r w:rsidR="00C1295C">
        <w:rPr>
          <w:lang w:val="en-GB"/>
        </w:rPr>
        <w:t xml:space="preserve">is described by anisotropy constants </w:t>
      </w:r>
      <w:r w:rsidR="00C1295C" w:rsidRPr="0063234A">
        <w:rPr>
          <w:i/>
          <w:iCs/>
          <w:lang w:val="en-GB"/>
        </w:rPr>
        <w:t>K</w:t>
      </w:r>
      <w:r w:rsidR="00C1295C" w:rsidRPr="0063234A">
        <w:rPr>
          <w:vertAlign w:val="subscript"/>
          <w:lang w:val="en-GB"/>
        </w:rPr>
        <w:t>1</w:t>
      </w:r>
      <w:r w:rsidR="00C1295C">
        <w:rPr>
          <w:lang w:val="en-GB"/>
        </w:rPr>
        <w:t xml:space="preserve">, </w:t>
      </w:r>
      <w:r w:rsidR="00C1295C" w:rsidRPr="0063234A">
        <w:rPr>
          <w:i/>
          <w:iCs/>
          <w:lang w:val="en-GB"/>
        </w:rPr>
        <w:t>K</w:t>
      </w:r>
      <w:r w:rsidR="00C1295C" w:rsidRPr="0063234A">
        <w:rPr>
          <w:vertAlign w:val="subscript"/>
          <w:lang w:val="en-GB"/>
        </w:rPr>
        <w:t>2</w:t>
      </w:r>
      <w:r w:rsidR="00C1295C">
        <w:rPr>
          <w:lang w:val="en-GB"/>
        </w:rPr>
        <w:t xml:space="preserve">, and </w:t>
      </w:r>
      <w:r w:rsidR="00C1295C" w:rsidRPr="0063234A">
        <w:rPr>
          <w:i/>
          <w:iCs/>
          <w:lang w:val="en-GB"/>
        </w:rPr>
        <w:t>K</w:t>
      </w:r>
      <w:r w:rsidR="00C1295C" w:rsidRPr="0063234A">
        <w:rPr>
          <w:vertAlign w:val="subscript"/>
          <w:lang w:val="en-GB"/>
        </w:rPr>
        <w:t>3</w:t>
      </w:r>
      <w:r w:rsidR="00C1295C">
        <w:rPr>
          <w:lang w:val="en-GB"/>
        </w:rPr>
        <w:t xml:space="preserve">. </w:t>
      </w:r>
      <w:r w:rsidR="0063234A">
        <w:rPr>
          <w:lang w:val="en-GB"/>
        </w:rPr>
        <w:t xml:space="preserve">For 10M structure the anisotropy constant </w:t>
      </w:r>
      <w:r w:rsidR="0063234A" w:rsidRPr="0063234A">
        <w:rPr>
          <w:i/>
          <w:iCs/>
          <w:lang w:val="en-GB"/>
        </w:rPr>
        <w:t>K</w:t>
      </w:r>
      <w:r w:rsidR="0063234A" w:rsidRPr="0063234A">
        <w:rPr>
          <w:vertAlign w:val="subscript"/>
          <w:lang w:val="en-GB"/>
        </w:rPr>
        <w:t>1</w:t>
      </w:r>
      <w:r w:rsidR="0063234A">
        <w:rPr>
          <w:lang w:val="en-GB"/>
        </w:rPr>
        <w:t xml:space="preserve"> is positive, </w:t>
      </w:r>
      <w:r w:rsidR="0063234A" w:rsidRPr="0063234A">
        <w:rPr>
          <w:i/>
          <w:iCs/>
          <w:lang w:val="en-GB"/>
        </w:rPr>
        <w:t>K</w:t>
      </w:r>
      <w:r w:rsidR="0063234A" w:rsidRPr="0063234A">
        <w:rPr>
          <w:vertAlign w:val="subscript"/>
          <w:lang w:val="en-GB"/>
        </w:rPr>
        <w:t>1</w:t>
      </w:r>
      <w:r w:rsidR="00842EE2" w:rsidRPr="00842EE2">
        <w:rPr>
          <w:lang w:val="en-GB"/>
        </w:rPr>
        <w:t xml:space="preserve"> </w:t>
      </w:r>
      <w:r w:rsidR="0063234A">
        <w:rPr>
          <w:lang w:val="en-GB"/>
        </w:rPr>
        <w:t xml:space="preserve">&gt; 0, and an easy axis of magnetization occurs. In NM structure </w:t>
      </w:r>
      <w:r w:rsidR="0063234A" w:rsidRPr="0063234A">
        <w:rPr>
          <w:i/>
          <w:iCs/>
          <w:lang w:val="en-GB"/>
        </w:rPr>
        <w:t>K</w:t>
      </w:r>
      <w:r w:rsidR="0063234A" w:rsidRPr="0063234A">
        <w:rPr>
          <w:vertAlign w:val="subscript"/>
          <w:lang w:val="en-GB"/>
        </w:rPr>
        <w:t>1</w:t>
      </w:r>
      <w:r w:rsidR="0063234A">
        <w:rPr>
          <w:lang w:val="en-GB"/>
        </w:rPr>
        <w:t xml:space="preserve"> is negative, </w:t>
      </w:r>
      <w:r w:rsidR="0063234A" w:rsidRPr="0063234A">
        <w:rPr>
          <w:i/>
          <w:iCs/>
          <w:lang w:val="en-GB"/>
        </w:rPr>
        <w:t>K</w:t>
      </w:r>
      <w:r w:rsidR="0063234A" w:rsidRPr="0063234A">
        <w:rPr>
          <w:vertAlign w:val="subscript"/>
          <w:lang w:val="en-GB"/>
        </w:rPr>
        <w:t>1</w:t>
      </w:r>
      <w:r w:rsidR="00842EE2" w:rsidRPr="00842EE2">
        <w:rPr>
          <w:lang w:val="en-GB"/>
        </w:rPr>
        <w:t xml:space="preserve"> </w:t>
      </w:r>
      <w:r w:rsidR="0063234A">
        <w:rPr>
          <w:lang w:val="en-GB"/>
        </w:rPr>
        <w:t xml:space="preserve">&lt; 0, and </w:t>
      </w:r>
      <w:r w:rsidR="00EF50B3">
        <w:rPr>
          <w:lang w:val="en-GB"/>
        </w:rPr>
        <w:t xml:space="preserve">thus the material exhibits </w:t>
      </w:r>
      <w:r w:rsidR="0063234A">
        <w:rPr>
          <w:lang w:val="en-GB"/>
        </w:rPr>
        <w:t xml:space="preserve">an easy plane of magnetization. </w:t>
      </w:r>
      <w:r w:rsidR="00AF742B">
        <w:rPr>
          <w:lang w:val="en-GB"/>
        </w:rPr>
        <w:t xml:space="preserve">Our study aims at MCA of non-modulated Ni-Mn-Ga-Co-Cu martensites, which </w:t>
      </w:r>
      <w:r w:rsidR="00842EE2">
        <w:rPr>
          <w:lang w:val="en-GB"/>
        </w:rPr>
        <w:t>–</w:t>
      </w:r>
      <w:r w:rsidR="00AF742B">
        <w:rPr>
          <w:lang w:val="en-GB"/>
        </w:rPr>
        <w:t xml:space="preserve"> as mentioned above – can exhibit high MFIS, which is attractive for applications.</w:t>
      </w:r>
    </w:p>
    <w:p w14:paraId="5BD40A62" w14:textId="77777777" w:rsidR="00CB4BB2" w:rsidRPr="00322F60" w:rsidRDefault="00A5021A" w:rsidP="0066277B">
      <w:pPr>
        <w:pStyle w:val="Title2"/>
        <w:rPr>
          <w:lang w:val="en-GB"/>
        </w:rPr>
      </w:pPr>
      <w:r w:rsidRPr="00322F60">
        <w:rPr>
          <w:lang w:val="en-GB"/>
        </w:rPr>
        <w:t>E</w:t>
      </w:r>
      <w:r w:rsidR="00CF6F30" w:rsidRPr="00322F60">
        <w:rPr>
          <w:lang w:val="en-GB"/>
        </w:rPr>
        <w:t>xperime</w:t>
      </w:r>
      <w:r w:rsidR="00255555" w:rsidRPr="00322F60">
        <w:rPr>
          <w:lang w:val="en-GB"/>
        </w:rPr>
        <w:t>nt</w:t>
      </w:r>
    </w:p>
    <w:p w14:paraId="709F3C99" w14:textId="1DBD7DB9" w:rsidR="00AC6C4D" w:rsidRDefault="00B11608" w:rsidP="00AC6C4D">
      <w:pPr>
        <w:pStyle w:val="Text-1odstavec"/>
        <w:rPr>
          <w:lang w:val="en-GB"/>
        </w:rPr>
      </w:pPr>
      <w:r>
        <w:rPr>
          <w:lang w:val="en-GB"/>
        </w:rPr>
        <w:t>The</w:t>
      </w:r>
      <w:r w:rsidR="006169AC">
        <w:rPr>
          <w:lang w:val="en-GB"/>
        </w:rPr>
        <w:t xml:space="preserve"> Ni-Mn-Ga-Co-Cu</w:t>
      </w:r>
      <w:r w:rsidR="00AF742B">
        <w:rPr>
          <w:lang w:val="en-GB"/>
        </w:rPr>
        <w:t xml:space="preserve"> single crystals </w:t>
      </w:r>
      <w:r>
        <w:rPr>
          <w:lang w:val="en-GB"/>
        </w:rPr>
        <w:t xml:space="preserve">were </w:t>
      </w:r>
      <w:r w:rsidR="00AF742B">
        <w:rPr>
          <w:lang w:val="en-GB"/>
        </w:rPr>
        <w:t>prepar</w:t>
      </w:r>
      <w:r w:rsidR="00553888">
        <w:rPr>
          <w:lang w:val="en-GB"/>
        </w:rPr>
        <w:t>ed by directional solidification</w:t>
      </w:r>
      <w:r w:rsidR="009F320B">
        <w:rPr>
          <w:lang w:val="en-GB"/>
        </w:rPr>
        <w:t xml:space="preserve"> [</w:t>
      </w:r>
      <w:r w:rsidR="006A0142">
        <w:rPr>
          <w:lang w:val="en-GB"/>
        </w:rPr>
        <w:t>2</w:t>
      </w:r>
      <w:r w:rsidR="009F320B">
        <w:rPr>
          <w:lang w:val="en-GB"/>
        </w:rPr>
        <w:t>]</w:t>
      </w:r>
      <w:r w:rsidR="00553888">
        <w:rPr>
          <w:lang w:val="en-GB"/>
        </w:rPr>
        <w:t>. The</w:t>
      </w:r>
      <w:r w:rsidR="005E13B4">
        <w:rPr>
          <w:lang w:val="en-GB"/>
        </w:rPr>
        <w:t xml:space="preserve"> </w:t>
      </w:r>
      <w:r w:rsidR="00553888">
        <w:rPr>
          <w:lang w:val="en-GB"/>
        </w:rPr>
        <w:t>composition</w:t>
      </w:r>
      <w:r w:rsidR="00EF50B3">
        <w:rPr>
          <w:lang w:val="en-GB"/>
        </w:rPr>
        <w:t>,</w:t>
      </w:r>
      <w:r w:rsidR="00553888">
        <w:rPr>
          <w:lang w:val="en-GB"/>
        </w:rPr>
        <w:t xml:space="preserve"> </w:t>
      </w:r>
      <w:r w:rsidR="00EF50B3">
        <w:rPr>
          <w:lang w:val="en-GB"/>
        </w:rPr>
        <w:t>listed in Table 1</w:t>
      </w:r>
      <w:r w:rsidR="00EF50B3">
        <w:rPr>
          <w:lang w:val="en-GB"/>
        </w:rPr>
        <w:t xml:space="preserve">, </w:t>
      </w:r>
      <w:r w:rsidR="00553888">
        <w:rPr>
          <w:lang w:val="en-GB"/>
        </w:rPr>
        <w:t xml:space="preserve">was checked by X-ray fluorescence spectroscopy. The X-ray diffraction confirmed tetragonal structure of </w:t>
      </w:r>
      <w:r w:rsidR="005E13B4">
        <w:rPr>
          <w:lang w:val="en-GB"/>
        </w:rPr>
        <w:t>the</w:t>
      </w:r>
      <w:r w:rsidR="00553888">
        <w:rPr>
          <w:lang w:val="en-GB"/>
        </w:rPr>
        <w:t xml:space="preserve"> crystals, and the lattice parameters </w:t>
      </w:r>
      <w:r w:rsidR="00553888" w:rsidRPr="00553888">
        <w:rPr>
          <w:i/>
          <w:iCs/>
          <w:lang w:val="en-GB"/>
        </w:rPr>
        <w:t>a</w:t>
      </w:r>
      <w:r w:rsidR="00553888">
        <w:rPr>
          <w:lang w:val="en-GB"/>
        </w:rPr>
        <w:t xml:space="preserve"> and </w:t>
      </w:r>
      <w:r w:rsidR="00553888" w:rsidRPr="00553888">
        <w:rPr>
          <w:i/>
          <w:iCs/>
          <w:lang w:val="en-GB"/>
        </w:rPr>
        <w:t>c</w:t>
      </w:r>
      <w:r w:rsidR="00553888">
        <w:rPr>
          <w:lang w:val="en-GB"/>
        </w:rPr>
        <w:t xml:space="preserve"> were measured at temperature </w:t>
      </w:r>
      <w:r w:rsidR="00553888" w:rsidRPr="00553888">
        <w:rPr>
          <w:i/>
          <w:iCs/>
          <w:lang w:val="en-GB"/>
        </w:rPr>
        <w:t>T</w:t>
      </w:r>
      <w:r w:rsidR="00553888">
        <w:rPr>
          <w:lang w:val="en-GB"/>
        </w:rPr>
        <w:t xml:space="preserve"> = 300 K, with tetragonality ratio </w:t>
      </w:r>
      <w:r w:rsidR="00553888" w:rsidRPr="00AB3A49">
        <w:rPr>
          <w:i/>
          <w:iCs/>
          <w:lang w:val="en-GB"/>
        </w:rPr>
        <w:t>c</w:t>
      </w:r>
      <w:r w:rsidR="00553888">
        <w:rPr>
          <w:lang w:val="en-GB"/>
        </w:rPr>
        <w:t>/</w:t>
      </w:r>
      <w:r w:rsidR="00553888" w:rsidRPr="00AB3A49">
        <w:rPr>
          <w:i/>
          <w:iCs/>
          <w:lang w:val="en-GB"/>
        </w:rPr>
        <w:t>a</w:t>
      </w:r>
      <w:r w:rsidR="00553888">
        <w:rPr>
          <w:lang w:val="en-GB"/>
        </w:rPr>
        <w:t xml:space="preserve"> given in Table 1. Since </w:t>
      </w:r>
      <w:r w:rsidR="005E13B4">
        <w:rPr>
          <w:lang w:val="en-GB"/>
        </w:rPr>
        <w:t>Ni-Mn-Ga</w:t>
      </w:r>
      <w:r w:rsidR="00553888">
        <w:rPr>
          <w:lang w:val="en-GB"/>
        </w:rPr>
        <w:t xml:space="preserve"> </w:t>
      </w:r>
      <w:r w:rsidR="005E13B4">
        <w:rPr>
          <w:lang w:val="en-GB"/>
        </w:rPr>
        <w:lastRenderedPageBreak/>
        <w:t xml:space="preserve">alloy </w:t>
      </w:r>
      <w:r w:rsidR="00553888">
        <w:rPr>
          <w:lang w:val="en-GB"/>
        </w:rPr>
        <w:t>belong</w:t>
      </w:r>
      <w:r w:rsidR="005E13B4">
        <w:rPr>
          <w:lang w:val="en-GB"/>
        </w:rPr>
        <w:t>s</w:t>
      </w:r>
      <w:r w:rsidR="00553888">
        <w:rPr>
          <w:lang w:val="en-GB"/>
        </w:rPr>
        <w:t xml:space="preserve"> to Hume-</w:t>
      </w:r>
      <w:proofErr w:type="spellStart"/>
      <w:r w:rsidR="00553888">
        <w:rPr>
          <w:lang w:val="en-GB"/>
        </w:rPr>
        <w:t>Rothery</w:t>
      </w:r>
      <w:proofErr w:type="spellEnd"/>
      <w:r w:rsidR="00553888">
        <w:rPr>
          <w:lang w:val="en-GB"/>
        </w:rPr>
        <w:t xml:space="preserve"> phases, the valence electron concentration </w:t>
      </w:r>
      <w:r w:rsidR="00852270" w:rsidRPr="00852270">
        <w:rPr>
          <w:i/>
          <w:iCs/>
          <w:lang w:val="en-GB"/>
        </w:rPr>
        <w:t>e</w:t>
      </w:r>
      <w:r w:rsidR="00852270">
        <w:rPr>
          <w:lang w:val="en-GB"/>
        </w:rPr>
        <w:t>/</w:t>
      </w:r>
      <w:r w:rsidR="00852270" w:rsidRPr="00852270">
        <w:rPr>
          <w:i/>
          <w:iCs/>
          <w:lang w:val="en-GB"/>
        </w:rPr>
        <w:t>a</w:t>
      </w:r>
      <w:r w:rsidR="00852270">
        <w:rPr>
          <w:lang w:val="en-GB"/>
        </w:rPr>
        <w:t xml:space="preserve"> given in </w:t>
      </w:r>
      <w:r w:rsidR="00284E84">
        <w:rPr>
          <w:lang w:val="en-GB"/>
        </w:rPr>
        <w:t>T</w:t>
      </w:r>
      <w:r w:rsidR="00852270">
        <w:rPr>
          <w:lang w:val="en-GB"/>
        </w:rPr>
        <w:t xml:space="preserve">able 1 is </w:t>
      </w:r>
      <w:r w:rsidR="00284E84">
        <w:rPr>
          <w:lang w:val="en-GB"/>
        </w:rPr>
        <w:t xml:space="preserve">expected to be </w:t>
      </w:r>
      <w:r w:rsidR="00852270">
        <w:rPr>
          <w:lang w:val="en-GB"/>
        </w:rPr>
        <w:t>important for their physical properties.</w:t>
      </w:r>
    </w:p>
    <w:p w14:paraId="27E4A21C" w14:textId="0DE7F566" w:rsidR="00852270" w:rsidRDefault="005E13B4" w:rsidP="00852270">
      <w:pPr>
        <w:pStyle w:val="Text"/>
        <w:rPr>
          <w:lang w:val="en-GB"/>
        </w:rPr>
      </w:pPr>
      <w:r>
        <w:rPr>
          <w:lang w:val="en-GB"/>
        </w:rPr>
        <w:t xml:space="preserve">The </w:t>
      </w:r>
      <w:r w:rsidR="00852270">
        <w:rPr>
          <w:lang w:val="en-GB"/>
        </w:rPr>
        <w:t>MCA of our crystals was determined from magneti</w:t>
      </w:r>
      <w:r w:rsidR="00284E84">
        <w:rPr>
          <w:lang w:val="en-GB"/>
        </w:rPr>
        <w:t xml:space="preserve">zation curves measured by </w:t>
      </w:r>
      <w:r w:rsidR="00852270">
        <w:rPr>
          <w:lang w:val="en-GB"/>
        </w:rPr>
        <w:t>vibrati</w:t>
      </w:r>
      <w:r w:rsidR="00127D27">
        <w:rPr>
          <w:lang w:val="en-GB"/>
        </w:rPr>
        <w:t>ng</w:t>
      </w:r>
      <w:r w:rsidR="00852270">
        <w:rPr>
          <w:lang w:val="en-GB"/>
        </w:rPr>
        <w:t xml:space="preserve"> sample magnetometer PPMS (Quantum Design). The samples were mechanically</w:t>
      </w:r>
      <w:r w:rsidR="00284E84">
        <w:rPr>
          <w:lang w:val="en-GB"/>
        </w:rPr>
        <w:t xml:space="preserve"> compressed </w:t>
      </w:r>
      <w:r w:rsidR="00852270">
        <w:rPr>
          <w:lang w:val="en-GB"/>
        </w:rPr>
        <w:t>to obtain almost single variant microstructure of the martensite</w:t>
      </w:r>
      <w:r w:rsidR="00284E84">
        <w:rPr>
          <w:lang w:val="en-GB"/>
        </w:rPr>
        <w:t xml:space="preserve"> </w:t>
      </w:r>
      <w:r w:rsidR="006A0142">
        <w:rPr>
          <w:lang w:val="en-GB"/>
        </w:rPr>
        <w:t>prior to magnetization measurements</w:t>
      </w:r>
      <w:r w:rsidR="00852270">
        <w:rPr>
          <w:lang w:val="en-GB"/>
        </w:rPr>
        <w:t>. The martensite was magnetized along hard axis of magnetization up to field of 9 T for temperatures between 10 and 400 K.</w:t>
      </w:r>
      <w:r w:rsidR="00AB3A49">
        <w:rPr>
          <w:lang w:val="en-GB"/>
        </w:rPr>
        <w:t xml:space="preserve"> Since the samples were magnetically open, </w:t>
      </w:r>
      <w:r w:rsidR="00A521FB">
        <w:rPr>
          <w:lang w:val="en-GB"/>
        </w:rPr>
        <w:t xml:space="preserve">the </w:t>
      </w:r>
      <w:r w:rsidR="00AB3A49">
        <w:rPr>
          <w:lang w:val="en-GB"/>
        </w:rPr>
        <w:t xml:space="preserve">shape anisotropy had to be </w:t>
      </w:r>
      <w:proofErr w:type="gramStart"/>
      <w:r w:rsidR="00AB3A49">
        <w:rPr>
          <w:lang w:val="en-GB"/>
        </w:rPr>
        <w:t>taken into account</w:t>
      </w:r>
      <w:proofErr w:type="gramEnd"/>
      <w:r w:rsidR="00DF4A8F">
        <w:rPr>
          <w:lang w:val="en-GB"/>
        </w:rPr>
        <w:t xml:space="preserve"> by </w:t>
      </w:r>
      <w:r w:rsidR="00AB3A49">
        <w:rPr>
          <w:lang w:val="en-GB"/>
        </w:rPr>
        <w:t xml:space="preserve">correcting the measured loops for demagnetization. </w:t>
      </w:r>
      <w:r w:rsidR="00DF4A8F">
        <w:rPr>
          <w:lang w:val="en-GB"/>
        </w:rPr>
        <w:t xml:space="preserve">To obtain the </w:t>
      </w:r>
      <w:r w:rsidR="00AB3A49">
        <w:rPr>
          <w:lang w:val="en-GB"/>
        </w:rPr>
        <w:t>correction a hysteresis loops in austenite phase were measured</w:t>
      </w:r>
      <w:r w:rsidR="00DF4A8F">
        <w:rPr>
          <w:lang w:val="en-GB"/>
        </w:rPr>
        <w:t>. We assume</w:t>
      </w:r>
      <w:r>
        <w:rPr>
          <w:lang w:val="en-GB"/>
        </w:rPr>
        <w:t>d</w:t>
      </w:r>
      <w:r w:rsidR="00DF4A8F">
        <w:rPr>
          <w:lang w:val="en-GB"/>
        </w:rPr>
        <w:t xml:space="preserve"> negligible anisotropy of cubic austenite and thus the </w:t>
      </w:r>
      <w:r w:rsidR="00AB3A49">
        <w:rPr>
          <w:lang w:val="en-GB"/>
        </w:rPr>
        <w:t xml:space="preserve">low-field slope of the austenite loop </w:t>
      </w:r>
      <w:r w:rsidR="00DF4A8F">
        <w:rPr>
          <w:lang w:val="en-GB"/>
        </w:rPr>
        <w:t>determines the</w:t>
      </w:r>
      <w:r w:rsidR="00AB3A49">
        <w:rPr>
          <w:lang w:val="en-GB"/>
        </w:rPr>
        <w:t xml:space="preserve"> demagnetization factor. </w:t>
      </w:r>
      <w:r w:rsidR="00DF4A8F">
        <w:rPr>
          <w:lang w:val="en-GB"/>
        </w:rPr>
        <w:t>Since martensitic transition affect</w:t>
      </w:r>
      <w:r>
        <w:rPr>
          <w:lang w:val="en-GB"/>
        </w:rPr>
        <w:t>s</w:t>
      </w:r>
      <w:r w:rsidR="00DF4A8F">
        <w:rPr>
          <w:lang w:val="en-GB"/>
        </w:rPr>
        <w:t xml:space="preserve"> macroscopic sample dimensions</w:t>
      </w:r>
      <w:r>
        <w:rPr>
          <w:lang w:val="en-GB"/>
        </w:rPr>
        <w:t xml:space="preserve"> only slightly</w:t>
      </w:r>
      <w:r w:rsidR="00CD0B4C">
        <w:rPr>
          <w:lang w:val="en-GB"/>
        </w:rPr>
        <w:t>,</w:t>
      </w:r>
      <w:r w:rsidR="00DF4A8F">
        <w:rPr>
          <w:lang w:val="en-GB"/>
        </w:rPr>
        <w:t xml:space="preserve"> the obtained</w:t>
      </w:r>
      <w:r w:rsidR="00AB3A49">
        <w:rPr>
          <w:lang w:val="en-GB"/>
        </w:rPr>
        <w:t xml:space="preserve"> factor </w:t>
      </w:r>
      <w:r w:rsidR="00DF4A8F">
        <w:rPr>
          <w:lang w:val="en-GB"/>
        </w:rPr>
        <w:t>can be</w:t>
      </w:r>
      <w:r w:rsidR="00AB3A49">
        <w:rPr>
          <w:lang w:val="en-GB"/>
        </w:rPr>
        <w:t xml:space="preserve"> used for correction of </w:t>
      </w:r>
      <w:r w:rsidR="00DF4A8F">
        <w:rPr>
          <w:lang w:val="en-GB"/>
        </w:rPr>
        <w:t xml:space="preserve">magnetization curves of </w:t>
      </w:r>
      <w:r w:rsidR="00AB3A49">
        <w:rPr>
          <w:lang w:val="en-GB"/>
        </w:rPr>
        <w:t>martensite</w:t>
      </w:r>
      <w:r w:rsidR="00C249E4">
        <w:rPr>
          <w:lang w:val="en-GB"/>
        </w:rPr>
        <w:t>.</w:t>
      </w:r>
      <w:r w:rsidR="00DF4A8F">
        <w:rPr>
          <w:lang w:val="en-GB"/>
        </w:rPr>
        <w:t xml:space="preserve"> </w:t>
      </w:r>
    </w:p>
    <w:p w14:paraId="092BCEA3" w14:textId="77777777" w:rsidR="00460AC9" w:rsidRDefault="00460AC9" w:rsidP="00460AC9">
      <w:pPr>
        <w:pStyle w:val="Text"/>
        <w:rPr>
          <w:lang w:val="en-GB"/>
        </w:rPr>
      </w:pPr>
      <w:r>
        <w:rPr>
          <w:lang w:val="en-GB"/>
        </w:rPr>
        <w:t xml:space="preserve">From the corrected curves the anisotropy constants </w:t>
      </w:r>
      <w:r w:rsidRPr="00190D7D">
        <w:rPr>
          <w:i/>
          <w:lang w:val="en-GB"/>
        </w:rPr>
        <w:t>K</w:t>
      </w:r>
      <w:r w:rsidRPr="00190D7D">
        <w:rPr>
          <w:vertAlign w:val="subscript"/>
          <w:lang w:val="en-GB"/>
        </w:rPr>
        <w:t>1</w:t>
      </w:r>
      <w:r>
        <w:rPr>
          <w:lang w:val="en-GB"/>
        </w:rPr>
        <w:t xml:space="preserve"> and </w:t>
      </w:r>
      <w:r w:rsidRPr="00190D7D">
        <w:rPr>
          <w:i/>
          <w:lang w:val="en-GB"/>
        </w:rPr>
        <w:t>K</w:t>
      </w:r>
      <w:r w:rsidRPr="00190D7D">
        <w:rPr>
          <w:vertAlign w:val="subscript"/>
          <w:lang w:val="en-GB"/>
        </w:rPr>
        <w:t>2</w:t>
      </w:r>
      <w:r>
        <w:rPr>
          <w:lang w:val="en-GB"/>
        </w:rPr>
        <w:t xml:space="preserve"> were determined using </w:t>
      </w:r>
      <w:proofErr w:type="spellStart"/>
      <w:r>
        <w:rPr>
          <w:lang w:val="en-GB"/>
        </w:rPr>
        <w:t>Sucksmith</w:t>
      </w:r>
      <w:proofErr w:type="spellEnd"/>
      <w:r>
        <w:rPr>
          <w:lang w:val="en-GB"/>
        </w:rPr>
        <w:t>-Thompson method [5], which for our non-modulated tetragonal martensites can be expressed as</w:t>
      </w:r>
    </w:p>
    <w:p w14:paraId="70A2FB1C" w14:textId="77777777" w:rsidR="00460AC9" w:rsidRPr="0015723F" w:rsidRDefault="00460AC9" w:rsidP="00460AC9">
      <w:pPr>
        <w:pStyle w:val="Text"/>
        <w:tabs>
          <w:tab w:val="left" w:pos="2835"/>
          <w:tab w:val="right" w:pos="8505"/>
        </w:tabs>
        <w:rPr>
          <w:lang w:val="en-GB"/>
        </w:rPr>
      </w:pPr>
      <w:r>
        <w:rPr>
          <w:bCs/>
          <w:i/>
          <w:iCs/>
        </w:rPr>
        <w:tab/>
      </w:r>
      <w:proofErr w:type="spellStart"/>
      <w:r w:rsidRPr="0015723F">
        <w:rPr>
          <w:bCs/>
          <w:i/>
          <w:iCs/>
        </w:rPr>
        <w:t>H</w:t>
      </w:r>
      <w:r w:rsidRPr="0015723F">
        <w:rPr>
          <w:bCs/>
          <w:vertAlign w:val="subscript"/>
        </w:rPr>
        <w:t>i</w:t>
      </w:r>
      <w:proofErr w:type="spellEnd"/>
      <w:r w:rsidRPr="0015723F">
        <w:rPr>
          <w:bCs/>
        </w:rPr>
        <w:t>/</w:t>
      </w:r>
      <w:r w:rsidRPr="0015723F">
        <w:rPr>
          <w:bCs/>
          <w:i/>
          <w:iCs/>
        </w:rPr>
        <w:t>I</w:t>
      </w:r>
      <w:r w:rsidRPr="0015723F">
        <w:rPr>
          <w:bCs/>
        </w:rPr>
        <w:t xml:space="preserve"> = -[(2</w:t>
      </w:r>
      <w:r w:rsidRPr="0015723F">
        <w:rPr>
          <w:bCs/>
          <w:i/>
          <w:iCs/>
        </w:rPr>
        <w:t>K</w:t>
      </w:r>
      <w:r w:rsidRPr="0015723F">
        <w:rPr>
          <w:bCs/>
          <w:vertAlign w:val="subscript"/>
        </w:rPr>
        <w:t>1</w:t>
      </w:r>
      <w:r w:rsidRPr="0015723F">
        <w:rPr>
          <w:bCs/>
        </w:rPr>
        <w:t>+4</w:t>
      </w:r>
      <w:proofErr w:type="gramStart"/>
      <w:r w:rsidRPr="0015723F">
        <w:rPr>
          <w:bCs/>
          <w:i/>
          <w:iCs/>
        </w:rPr>
        <w:t>K</w:t>
      </w:r>
      <w:r w:rsidRPr="0015723F">
        <w:rPr>
          <w:bCs/>
          <w:vertAlign w:val="subscript"/>
        </w:rPr>
        <w:t>2</w:t>
      </w:r>
      <w:r w:rsidRPr="0015723F">
        <w:rPr>
          <w:bCs/>
        </w:rPr>
        <w:t>)/</w:t>
      </w:r>
      <w:proofErr w:type="gramEnd"/>
      <w:r w:rsidRPr="0015723F">
        <w:rPr>
          <w:bCs/>
          <w:i/>
          <w:iCs/>
        </w:rPr>
        <w:t>I</w:t>
      </w:r>
      <w:r w:rsidRPr="0015723F">
        <w:rPr>
          <w:bCs/>
          <w:vertAlign w:val="subscript"/>
        </w:rPr>
        <w:t>s</w:t>
      </w:r>
      <w:r w:rsidRPr="0015723F">
        <w:rPr>
          <w:bCs/>
          <w:vertAlign w:val="superscript"/>
        </w:rPr>
        <w:t>2</w:t>
      </w:r>
      <w:r w:rsidRPr="0015723F">
        <w:rPr>
          <w:bCs/>
        </w:rPr>
        <w:t>] + (4</w:t>
      </w:r>
      <w:r w:rsidRPr="0015723F">
        <w:rPr>
          <w:bCs/>
          <w:i/>
          <w:iCs/>
        </w:rPr>
        <w:t>K</w:t>
      </w:r>
      <w:r w:rsidRPr="0015723F">
        <w:rPr>
          <w:bCs/>
          <w:vertAlign w:val="subscript"/>
        </w:rPr>
        <w:t>2</w:t>
      </w:r>
      <w:r w:rsidRPr="0015723F">
        <w:rPr>
          <w:bCs/>
        </w:rPr>
        <w:t>/</w:t>
      </w:r>
      <w:r w:rsidRPr="0015723F">
        <w:rPr>
          <w:bCs/>
          <w:i/>
          <w:iCs/>
        </w:rPr>
        <w:t>I</w:t>
      </w:r>
      <w:r w:rsidRPr="0015723F">
        <w:rPr>
          <w:bCs/>
          <w:vertAlign w:val="subscript"/>
        </w:rPr>
        <w:t>s</w:t>
      </w:r>
      <w:r w:rsidRPr="0015723F">
        <w:rPr>
          <w:bCs/>
          <w:vertAlign w:val="superscript"/>
        </w:rPr>
        <w:t>4</w:t>
      </w:r>
      <w:r w:rsidRPr="0015723F">
        <w:rPr>
          <w:bCs/>
        </w:rPr>
        <w:t>)</w:t>
      </w:r>
      <w:r w:rsidRPr="0015723F">
        <w:rPr>
          <w:bCs/>
          <w:i/>
          <w:iCs/>
        </w:rPr>
        <w:t>I</w:t>
      </w:r>
      <w:r w:rsidRPr="0015723F">
        <w:rPr>
          <w:bCs/>
          <w:vertAlign w:val="superscript"/>
        </w:rPr>
        <w:t>2</w:t>
      </w:r>
      <w:r>
        <w:rPr>
          <w:bCs/>
        </w:rPr>
        <w:t xml:space="preserve"> </w:t>
      </w:r>
      <w:r>
        <w:rPr>
          <w:bCs/>
        </w:rPr>
        <w:tab/>
        <w:t>(1)</w:t>
      </w:r>
    </w:p>
    <w:p w14:paraId="37884E58" w14:textId="77777777" w:rsidR="00460AC9" w:rsidRDefault="00460AC9" w:rsidP="00460AC9">
      <w:pPr>
        <w:pStyle w:val="Text-1odstavec"/>
        <w:rPr>
          <w:lang w:val="en-GB"/>
        </w:rPr>
      </w:pPr>
      <w:r>
        <w:rPr>
          <w:lang w:val="en-GB"/>
        </w:rPr>
        <w:t xml:space="preserve">Here </w:t>
      </w:r>
      <w:proofErr w:type="spellStart"/>
      <w:r w:rsidRPr="0015723F">
        <w:rPr>
          <w:i/>
          <w:lang w:val="en-GB"/>
        </w:rPr>
        <w:t>H</w:t>
      </w:r>
      <w:r w:rsidRPr="0015723F">
        <w:rPr>
          <w:vertAlign w:val="subscript"/>
          <w:lang w:val="en-GB"/>
        </w:rPr>
        <w:t>i</w:t>
      </w:r>
      <w:proofErr w:type="spellEnd"/>
      <w:r>
        <w:rPr>
          <w:lang w:val="en-GB"/>
        </w:rPr>
        <w:t xml:space="preserve"> is the internal magnetic field in units of A/m, </w:t>
      </w:r>
      <w:r w:rsidRPr="0015723F">
        <w:rPr>
          <w:i/>
          <w:lang w:val="en-GB"/>
        </w:rPr>
        <w:t>I</w:t>
      </w:r>
      <w:r>
        <w:rPr>
          <w:lang w:val="en-GB"/>
        </w:rPr>
        <w:t xml:space="preserve"> and </w:t>
      </w:r>
      <w:r w:rsidRPr="0015723F">
        <w:rPr>
          <w:i/>
          <w:lang w:val="en-GB"/>
        </w:rPr>
        <w:t>I</w:t>
      </w:r>
      <w:r w:rsidRPr="0015723F">
        <w:rPr>
          <w:vertAlign w:val="subscript"/>
          <w:lang w:val="en-GB"/>
        </w:rPr>
        <w:t>s</w:t>
      </w:r>
      <w:r>
        <w:rPr>
          <w:lang w:val="en-GB"/>
        </w:rPr>
        <w:t xml:space="preserve"> are magnetization and spontaneous magnetization in Tesla. The quantity </w:t>
      </w:r>
      <w:r w:rsidRPr="00190D7D">
        <w:rPr>
          <w:i/>
          <w:lang w:val="en-GB"/>
        </w:rPr>
        <w:t>I</w:t>
      </w:r>
      <w:r w:rsidRPr="00190D7D">
        <w:rPr>
          <w:vertAlign w:val="subscript"/>
          <w:lang w:val="en-GB"/>
        </w:rPr>
        <w:t>s</w:t>
      </w:r>
      <w:r>
        <w:rPr>
          <w:lang w:val="en-GB"/>
        </w:rPr>
        <w:t xml:space="preserve"> was determined from high-field linear regression of the measured magnetization curves as an intercept of the regression line.</w:t>
      </w:r>
    </w:p>
    <w:p w14:paraId="03325279" w14:textId="77777777" w:rsidR="00460AC9" w:rsidRDefault="00460AC9" w:rsidP="00852270">
      <w:pPr>
        <w:pStyle w:val="Text"/>
        <w:rPr>
          <w:lang w:val="en-GB"/>
        </w:rPr>
      </w:pPr>
    </w:p>
    <w:p w14:paraId="3C92B0E4" w14:textId="77777777" w:rsidR="00DF4A8F" w:rsidRPr="00852270" w:rsidRDefault="00DF4A8F" w:rsidP="00852270">
      <w:pPr>
        <w:pStyle w:val="Text"/>
        <w:rPr>
          <w:lang w:val="en-GB"/>
        </w:rPr>
      </w:pPr>
    </w:p>
    <w:p w14:paraId="6298F8DD" w14:textId="222F1672" w:rsidR="00A40DD6" w:rsidRPr="00322F60" w:rsidRDefault="00A40DD6" w:rsidP="00A40DD6">
      <w:pPr>
        <w:pStyle w:val="Caption"/>
        <w:keepNext/>
        <w:rPr>
          <w:lang w:val="en-GB"/>
        </w:rPr>
      </w:pPr>
      <w:bookmarkStart w:id="0" w:name="_Ref449970107"/>
      <w:r w:rsidRPr="00322F60">
        <w:rPr>
          <w:lang w:val="en-GB"/>
        </w:rPr>
        <w:t>Tab</w:t>
      </w:r>
      <w:r w:rsidR="00255555" w:rsidRPr="00322F60">
        <w:rPr>
          <w:lang w:val="en-GB"/>
        </w:rPr>
        <w:t>le</w:t>
      </w:r>
      <w:r w:rsidR="0029252B" w:rsidRPr="00322F60">
        <w:rPr>
          <w:lang w:val="en-GB"/>
        </w:rPr>
        <w:fldChar w:fldCharType="begin"/>
      </w:r>
      <w:r w:rsidRPr="00322F60">
        <w:rPr>
          <w:lang w:val="en-GB"/>
        </w:rPr>
        <w:instrText xml:space="preserve"> SEQ Tabulka \* ARABIC </w:instrText>
      </w:r>
      <w:r w:rsidR="0029252B" w:rsidRPr="00322F60">
        <w:rPr>
          <w:lang w:val="en-GB"/>
        </w:rPr>
        <w:fldChar w:fldCharType="separate"/>
      </w:r>
      <w:r w:rsidR="00842EE2">
        <w:rPr>
          <w:noProof/>
          <w:lang w:val="en-GB"/>
        </w:rPr>
        <w:t>1</w:t>
      </w:r>
      <w:r w:rsidR="0029252B" w:rsidRPr="00322F60">
        <w:rPr>
          <w:lang w:val="en-GB"/>
        </w:rPr>
        <w:fldChar w:fldCharType="end"/>
      </w:r>
      <w:bookmarkEnd w:id="0"/>
      <w:r w:rsidRPr="00322F60">
        <w:rPr>
          <w:lang w:val="en-GB"/>
        </w:rPr>
        <w:t xml:space="preserve">: </w:t>
      </w:r>
      <w:r w:rsidR="00255555" w:rsidRPr="00322F60">
        <w:rPr>
          <w:lang w:val="en-GB"/>
        </w:rPr>
        <w:t>Basic characteristics of Ni-Mn-Ga(-Co-Cu) alloys</w:t>
      </w:r>
      <w:r w:rsidRPr="00322F60">
        <w:rPr>
          <w:lang w:val="en-GB"/>
        </w:rPr>
        <w:t>.</w:t>
      </w:r>
      <w:r w:rsidR="006A0142">
        <w:rPr>
          <w:lang w:val="en-GB"/>
        </w:rPr>
        <w:t xml:space="preserve"> Non-doped reference alloy was adopted for comparison from ref. [3]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2819"/>
        <w:gridCol w:w="1440"/>
        <w:gridCol w:w="1440"/>
      </w:tblGrid>
      <w:tr w:rsidR="00255555" w:rsidRPr="00322F60" w14:paraId="791EF45A" w14:textId="77777777" w:rsidTr="00811D62">
        <w:trPr>
          <w:jc w:val="center"/>
        </w:trPr>
        <w:tc>
          <w:tcPr>
            <w:tcW w:w="111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2190258E" w14:textId="77777777" w:rsidR="00255555" w:rsidRPr="00322F60" w:rsidRDefault="00255555" w:rsidP="00053710">
            <w:pPr>
              <w:pStyle w:val="Text"/>
              <w:ind w:firstLine="0"/>
              <w:jc w:val="center"/>
              <w:rPr>
                <w:lang w:val="en-GB"/>
              </w:rPr>
            </w:pPr>
            <w:r w:rsidRPr="00322F60">
              <w:rPr>
                <w:lang w:val="en-GB"/>
              </w:rPr>
              <w:t>Alloy name</w:t>
            </w:r>
          </w:p>
        </w:tc>
        <w:tc>
          <w:tcPr>
            <w:tcW w:w="281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31FD8850" w14:textId="77777777" w:rsidR="00255555" w:rsidRPr="00322F60" w:rsidRDefault="00255555" w:rsidP="00053710">
            <w:pPr>
              <w:pStyle w:val="Text"/>
              <w:ind w:firstLine="0"/>
              <w:jc w:val="center"/>
              <w:rPr>
                <w:lang w:val="en-GB"/>
              </w:rPr>
            </w:pPr>
            <w:r w:rsidRPr="00322F60">
              <w:rPr>
                <w:lang w:val="en-GB"/>
              </w:rPr>
              <w:t>Composition according to XRF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666322BA" w14:textId="77777777" w:rsidR="00255555" w:rsidRPr="00322F60" w:rsidRDefault="00255555" w:rsidP="00053710">
            <w:pPr>
              <w:pStyle w:val="Text"/>
              <w:ind w:firstLine="0"/>
              <w:jc w:val="center"/>
              <w:rPr>
                <w:lang w:val="en-GB"/>
              </w:rPr>
            </w:pPr>
            <w:r w:rsidRPr="00322F60">
              <w:rPr>
                <w:lang w:val="en-GB"/>
              </w:rPr>
              <w:t xml:space="preserve">Tetragonality ratio </w:t>
            </w:r>
            <w:r w:rsidRPr="00127D27">
              <w:rPr>
                <w:lang w:val="en-GB"/>
              </w:rPr>
              <w:t>c</w:t>
            </w:r>
            <w:r w:rsidRPr="00322F60">
              <w:rPr>
                <w:lang w:val="en-GB"/>
              </w:rPr>
              <w:t>/</w:t>
            </w:r>
            <w:r w:rsidRPr="00127D27">
              <w:rPr>
                <w:lang w:val="en-GB"/>
              </w:rPr>
              <w:t>a</w:t>
            </w:r>
            <w:r w:rsidRPr="00322F60">
              <w:rPr>
                <w:lang w:val="en-GB"/>
              </w:rPr>
              <w:t xml:space="preserve"> at </w:t>
            </w:r>
            <w:r w:rsidRPr="00322F60">
              <w:rPr>
                <w:lang w:val="en-GB"/>
              </w:rPr>
              <w:br/>
              <w:t>T = 300 K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nil"/>
            </w:tcBorders>
          </w:tcPr>
          <w:p w14:paraId="04382638" w14:textId="77777777" w:rsidR="00255555" w:rsidRPr="00322F60" w:rsidRDefault="00255555" w:rsidP="00053710">
            <w:pPr>
              <w:pStyle w:val="Text"/>
              <w:ind w:firstLine="0"/>
              <w:jc w:val="center"/>
              <w:rPr>
                <w:lang w:val="en-GB"/>
              </w:rPr>
            </w:pPr>
            <w:r w:rsidRPr="00322F60">
              <w:rPr>
                <w:lang w:val="en-GB"/>
              </w:rPr>
              <w:t>Electron concentration e/a</w:t>
            </w:r>
          </w:p>
        </w:tc>
      </w:tr>
      <w:tr w:rsidR="00811D62" w:rsidRPr="00322F60" w14:paraId="13F7A445" w14:textId="77777777" w:rsidTr="00811D62">
        <w:trPr>
          <w:jc w:val="center"/>
        </w:trPr>
        <w:tc>
          <w:tcPr>
            <w:tcW w:w="11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9121DF" w14:textId="77777777" w:rsidR="00811D62" w:rsidRPr="00322F60" w:rsidRDefault="00811D62" w:rsidP="00811D62">
            <w:pPr>
              <w:pStyle w:val="Text"/>
              <w:ind w:firstLine="0"/>
              <w:rPr>
                <w:lang w:val="en-GB"/>
              </w:rPr>
            </w:pPr>
            <w:r w:rsidRPr="00322F60">
              <w:rPr>
                <w:lang w:val="en-GB"/>
              </w:rPr>
              <w:t>NMG3</w:t>
            </w:r>
          </w:p>
        </w:tc>
        <w:tc>
          <w:tcPr>
            <w:tcW w:w="28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CD478B" w14:textId="77777777" w:rsidR="00811D62" w:rsidRPr="00322F60" w:rsidRDefault="00811D62" w:rsidP="00811D62">
            <w:pPr>
              <w:pStyle w:val="Text"/>
              <w:tabs>
                <w:tab w:val="decimal" w:pos="582"/>
              </w:tabs>
              <w:ind w:firstLine="0"/>
              <w:rPr>
                <w:lang w:val="en-GB"/>
              </w:rPr>
            </w:pPr>
            <w:r w:rsidRPr="00322F60">
              <w:rPr>
                <w:color w:val="000000" w:themeColor="text1"/>
                <w:kern w:val="24"/>
                <w:lang w:val="en-GB"/>
              </w:rPr>
              <w:t>Ni</w:t>
            </w:r>
            <w:r w:rsidRPr="00322F60">
              <w:rPr>
                <w:color w:val="000000" w:themeColor="text1"/>
                <w:kern w:val="24"/>
                <w:position w:val="-9"/>
                <w:vertAlign w:val="subscript"/>
                <w:lang w:val="en-GB"/>
              </w:rPr>
              <w:t>46.5</w:t>
            </w:r>
            <w:r w:rsidRPr="00322F60">
              <w:rPr>
                <w:color w:val="000000" w:themeColor="text1"/>
                <w:kern w:val="24"/>
                <w:lang w:val="en-GB"/>
              </w:rPr>
              <w:t>Mn</w:t>
            </w:r>
            <w:r w:rsidRPr="00322F60">
              <w:rPr>
                <w:color w:val="000000" w:themeColor="text1"/>
                <w:kern w:val="24"/>
                <w:position w:val="-9"/>
                <w:vertAlign w:val="subscript"/>
                <w:lang w:val="en-GB"/>
              </w:rPr>
              <w:t>22.7</w:t>
            </w:r>
            <w:r w:rsidRPr="00322F60">
              <w:rPr>
                <w:color w:val="000000" w:themeColor="text1"/>
                <w:kern w:val="24"/>
                <w:lang w:val="en-GB"/>
              </w:rPr>
              <w:t>Ga</w:t>
            </w:r>
            <w:r w:rsidRPr="00322F60">
              <w:rPr>
                <w:color w:val="000000" w:themeColor="text1"/>
                <w:kern w:val="24"/>
                <w:position w:val="-9"/>
                <w:vertAlign w:val="subscript"/>
                <w:lang w:val="en-GB"/>
              </w:rPr>
              <w:t>24.4</w:t>
            </w:r>
            <w:r w:rsidRPr="00322F60">
              <w:rPr>
                <w:color w:val="000000" w:themeColor="text1"/>
                <w:kern w:val="24"/>
                <w:lang w:val="en-GB"/>
              </w:rPr>
              <w:t>Co</w:t>
            </w:r>
            <w:r w:rsidRPr="00322F60">
              <w:rPr>
                <w:color w:val="000000" w:themeColor="text1"/>
                <w:kern w:val="24"/>
                <w:position w:val="-9"/>
                <w:vertAlign w:val="subscript"/>
                <w:lang w:val="en-GB"/>
              </w:rPr>
              <w:t>2.9</w:t>
            </w:r>
            <w:r w:rsidRPr="00322F60">
              <w:rPr>
                <w:color w:val="000000" w:themeColor="text1"/>
                <w:kern w:val="24"/>
                <w:lang w:val="en-GB"/>
              </w:rPr>
              <w:t>Cu</w:t>
            </w:r>
            <w:r w:rsidRPr="00322F60">
              <w:rPr>
                <w:color w:val="000000" w:themeColor="text1"/>
                <w:kern w:val="24"/>
                <w:position w:val="-9"/>
                <w:vertAlign w:val="subscript"/>
                <w:lang w:val="en-GB"/>
              </w:rPr>
              <w:t>3.5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3E900A" w14:textId="77777777" w:rsidR="00811D62" w:rsidRPr="00322F60" w:rsidRDefault="00811D62" w:rsidP="00811D62">
            <w:pPr>
              <w:pStyle w:val="Text"/>
              <w:tabs>
                <w:tab w:val="decimal" w:pos="582"/>
              </w:tabs>
              <w:ind w:firstLine="0"/>
              <w:rPr>
                <w:lang w:val="en-GB"/>
              </w:rPr>
            </w:pPr>
            <w:r w:rsidRPr="00322F60">
              <w:rPr>
                <w:color w:val="000000" w:themeColor="text1"/>
                <w:kern w:val="24"/>
                <w:lang w:val="en-GB"/>
              </w:rPr>
              <w:t>1.148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4A28A2BA" w14:textId="77777777" w:rsidR="00811D62" w:rsidRPr="00322F60" w:rsidRDefault="00811D62" w:rsidP="00811D62">
            <w:pPr>
              <w:pStyle w:val="Text"/>
              <w:tabs>
                <w:tab w:val="decimal" w:pos="582"/>
              </w:tabs>
              <w:ind w:firstLine="0"/>
              <w:rPr>
                <w:lang w:val="en-GB"/>
              </w:rPr>
            </w:pPr>
            <w:r w:rsidRPr="00322F60">
              <w:rPr>
                <w:color w:val="000000" w:themeColor="text1"/>
                <w:kern w:val="24"/>
                <w:lang w:val="en-GB"/>
              </w:rPr>
              <w:t>7.62</w:t>
            </w:r>
          </w:p>
        </w:tc>
      </w:tr>
      <w:tr w:rsidR="00811D62" w:rsidRPr="00322F60" w14:paraId="260F572A" w14:textId="77777777" w:rsidTr="00811D62">
        <w:trPr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5B7B8" w14:textId="77777777" w:rsidR="00811D62" w:rsidRPr="00322F60" w:rsidRDefault="00811D62" w:rsidP="00811D62">
            <w:pPr>
              <w:pStyle w:val="Text"/>
              <w:ind w:firstLine="0"/>
              <w:rPr>
                <w:lang w:val="en-GB"/>
              </w:rPr>
            </w:pPr>
            <w:r w:rsidRPr="00322F60">
              <w:rPr>
                <w:lang w:val="en-GB"/>
              </w:rPr>
              <w:t>NMG4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5E0B7" w14:textId="77777777" w:rsidR="00811D62" w:rsidRPr="00322F60" w:rsidRDefault="00811D62" w:rsidP="00811D62">
            <w:pPr>
              <w:pStyle w:val="Text"/>
              <w:tabs>
                <w:tab w:val="decimal" w:pos="582"/>
              </w:tabs>
              <w:ind w:firstLine="0"/>
              <w:rPr>
                <w:lang w:val="en-GB"/>
              </w:rPr>
            </w:pPr>
            <w:r w:rsidRPr="00322F60">
              <w:rPr>
                <w:color w:val="000000" w:themeColor="text1"/>
                <w:kern w:val="24"/>
                <w:lang w:val="en-GB"/>
              </w:rPr>
              <w:t>Ni</w:t>
            </w:r>
            <w:r w:rsidRPr="00322F60">
              <w:rPr>
                <w:color w:val="000000" w:themeColor="text1"/>
                <w:kern w:val="24"/>
                <w:position w:val="-9"/>
                <w:vertAlign w:val="subscript"/>
                <w:lang w:val="en-GB"/>
              </w:rPr>
              <w:t>45.5</w:t>
            </w:r>
            <w:r w:rsidRPr="00322F60">
              <w:rPr>
                <w:color w:val="000000" w:themeColor="text1"/>
                <w:kern w:val="24"/>
                <w:lang w:val="en-GB"/>
              </w:rPr>
              <w:t>Mn</w:t>
            </w:r>
            <w:r w:rsidRPr="00322F60">
              <w:rPr>
                <w:color w:val="000000" w:themeColor="text1"/>
                <w:kern w:val="24"/>
                <w:position w:val="-9"/>
                <w:vertAlign w:val="subscript"/>
                <w:lang w:val="en-GB"/>
              </w:rPr>
              <w:t>22.5</w:t>
            </w:r>
            <w:r w:rsidRPr="00322F60">
              <w:rPr>
                <w:color w:val="000000" w:themeColor="text1"/>
                <w:kern w:val="24"/>
                <w:lang w:val="en-GB"/>
              </w:rPr>
              <w:t>Ga</w:t>
            </w:r>
            <w:r w:rsidRPr="00322F60">
              <w:rPr>
                <w:color w:val="000000" w:themeColor="text1"/>
                <w:kern w:val="24"/>
                <w:position w:val="-9"/>
                <w:vertAlign w:val="subscript"/>
                <w:lang w:val="en-GB"/>
              </w:rPr>
              <w:t>23.9</w:t>
            </w:r>
            <w:r w:rsidRPr="00322F60">
              <w:rPr>
                <w:color w:val="000000" w:themeColor="text1"/>
                <w:kern w:val="24"/>
                <w:lang w:val="en-GB"/>
              </w:rPr>
              <w:t>Co</w:t>
            </w:r>
            <w:r w:rsidRPr="00322F60">
              <w:rPr>
                <w:color w:val="000000" w:themeColor="text1"/>
                <w:kern w:val="24"/>
                <w:position w:val="-9"/>
                <w:vertAlign w:val="subscript"/>
                <w:lang w:val="en-GB"/>
              </w:rPr>
              <w:t>4.0</w:t>
            </w:r>
            <w:r w:rsidRPr="00322F60">
              <w:rPr>
                <w:color w:val="000000" w:themeColor="text1"/>
                <w:kern w:val="24"/>
                <w:lang w:val="en-GB"/>
              </w:rPr>
              <w:t>Cu</w:t>
            </w:r>
            <w:r w:rsidRPr="00322F60">
              <w:rPr>
                <w:color w:val="000000" w:themeColor="text1"/>
                <w:kern w:val="24"/>
                <w:position w:val="-9"/>
                <w:vertAlign w:val="subscript"/>
                <w:lang w:val="en-GB"/>
              </w:rPr>
              <w:t>4.2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AA245" w14:textId="77777777" w:rsidR="00811D62" w:rsidRPr="00322F60" w:rsidRDefault="00811D62" w:rsidP="00811D62">
            <w:pPr>
              <w:pStyle w:val="Text"/>
              <w:tabs>
                <w:tab w:val="decimal" w:pos="582"/>
              </w:tabs>
              <w:ind w:firstLine="0"/>
              <w:rPr>
                <w:lang w:val="en-GB"/>
              </w:rPr>
            </w:pPr>
            <w:r w:rsidRPr="00322F60">
              <w:rPr>
                <w:color w:val="000000" w:themeColor="text1"/>
                <w:kern w:val="24"/>
                <w:lang w:val="en-GB"/>
              </w:rPr>
              <w:t>1.148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6C03072" w14:textId="77777777" w:rsidR="00811D62" w:rsidRPr="00322F60" w:rsidRDefault="00811D62" w:rsidP="00811D62">
            <w:pPr>
              <w:pStyle w:val="Text"/>
              <w:tabs>
                <w:tab w:val="decimal" w:pos="582"/>
              </w:tabs>
              <w:ind w:firstLine="0"/>
              <w:rPr>
                <w:lang w:val="en-GB"/>
              </w:rPr>
            </w:pPr>
            <w:r w:rsidRPr="00322F60">
              <w:rPr>
                <w:color w:val="000000" w:themeColor="text1"/>
                <w:kern w:val="24"/>
                <w:lang w:val="en-GB"/>
              </w:rPr>
              <w:t>7.64</w:t>
            </w:r>
          </w:p>
        </w:tc>
      </w:tr>
      <w:tr w:rsidR="00811D62" w:rsidRPr="00322F60" w14:paraId="1794A64A" w14:textId="77777777" w:rsidTr="00811D62">
        <w:trPr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FA041" w14:textId="36553853" w:rsidR="00811D62" w:rsidRPr="00322F60" w:rsidRDefault="00811D62" w:rsidP="00811D62">
            <w:pPr>
              <w:pStyle w:val="Text"/>
              <w:ind w:firstLine="0"/>
              <w:rPr>
                <w:lang w:val="en-GB"/>
              </w:rPr>
            </w:pPr>
            <w:r w:rsidRPr="00322F60">
              <w:rPr>
                <w:lang w:val="en-GB"/>
              </w:rPr>
              <w:t>NMG</w:t>
            </w:r>
            <w:r w:rsidR="00993CEC">
              <w:rPr>
                <w:lang w:val="en-GB"/>
              </w:rPr>
              <w:t>5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3A7B7" w14:textId="77777777" w:rsidR="00811D62" w:rsidRPr="00322F60" w:rsidRDefault="00811D62" w:rsidP="00811D62">
            <w:pPr>
              <w:pStyle w:val="Text"/>
              <w:tabs>
                <w:tab w:val="decimal" w:pos="582"/>
              </w:tabs>
              <w:ind w:firstLine="0"/>
              <w:rPr>
                <w:lang w:val="en-GB"/>
              </w:rPr>
            </w:pPr>
            <w:r w:rsidRPr="00322F60">
              <w:rPr>
                <w:color w:val="000000" w:themeColor="text1"/>
                <w:kern w:val="24"/>
                <w:lang w:val="en-GB"/>
              </w:rPr>
              <w:t>Ni</w:t>
            </w:r>
            <w:r w:rsidRPr="00322F60">
              <w:rPr>
                <w:color w:val="000000" w:themeColor="text1"/>
                <w:kern w:val="24"/>
                <w:position w:val="-9"/>
                <w:vertAlign w:val="subscript"/>
                <w:lang w:val="en-GB"/>
              </w:rPr>
              <w:t>44.7</w:t>
            </w:r>
            <w:r w:rsidRPr="00322F60">
              <w:rPr>
                <w:color w:val="000000" w:themeColor="text1"/>
                <w:kern w:val="24"/>
                <w:lang w:val="en-GB"/>
              </w:rPr>
              <w:t>Mn</w:t>
            </w:r>
            <w:r w:rsidRPr="00322F60">
              <w:rPr>
                <w:color w:val="000000" w:themeColor="text1"/>
                <w:kern w:val="24"/>
                <w:position w:val="-9"/>
                <w:vertAlign w:val="subscript"/>
                <w:lang w:val="en-GB"/>
              </w:rPr>
              <w:t>22.5</w:t>
            </w:r>
            <w:r w:rsidRPr="00322F60">
              <w:rPr>
                <w:color w:val="000000" w:themeColor="text1"/>
                <w:kern w:val="24"/>
                <w:lang w:val="en-GB"/>
              </w:rPr>
              <w:t>Ga</w:t>
            </w:r>
            <w:r w:rsidRPr="00322F60">
              <w:rPr>
                <w:color w:val="000000" w:themeColor="text1"/>
                <w:kern w:val="24"/>
                <w:position w:val="-9"/>
                <w:vertAlign w:val="subscript"/>
                <w:lang w:val="en-GB"/>
              </w:rPr>
              <w:t>22.7</w:t>
            </w:r>
            <w:r w:rsidRPr="00322F60">
              <w:rPr>
                <w:color w:val="000000" w:themeColor="text1"/>
                <w:kern w:val="24"/>
                <w:lang w:val="en-GB"/>
              </w:rPr>
              <w:t>Co</w:t>
            </w:r>
            <w:r w:rsidRPr="00322F60">
              <w:rPr>
                <w:color w:val="000000" w:themeColor="text1"/>
                <w:kern w:val="24"/>
                <w:position w:val="-9"/>
                <w:vertAlign w:val="subscript"/>
                <w:lang w:val="en-GB"/>
              </w:rPr>
              <w:t>4.9</w:t>
            </w:r>
            <w:r w:rsidRPr="00322F60">
              <w:rPr>
                <w:color w:val="000000" w:themeColor="text1"/>
                <w:kern w:val="24"/>
                <w:lang w:val="en-GB"/>
              </w:rPr>
              <w:t>Cu</w:t>
            </w:r>
            <w:r w:rsidRPr="00322F60">
              <w:rPr>
                <w:color w:val="000000" w:themeColor="text1"/>
                <w:kern w:val="24"/>
                <w:position w:val="-9"/>
                <w:vertAlign w:val="subscript"/>
                <w:lang w:val="en-GB"/>
              </w:rPr>
              <w:t>5.2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609F9" w14:textId="77777777" w:rsidR="00811D62" w:rsidRPr="00322F60" w:rsidRDefault="00811D62" w:rsidP="00811D62">
            <w:pPr>
              <w:pStyle w:val="Text"/>
              <w:tabs>
                <w:tab w:val="decimal" w:pos="582"/>
              </w:tabs>
              <w:ind w:firstLine="0"/>
              <w:rPr>
                <w:lang w:val="en-GB"/>
              </w:rPr>
            </w:pPr>
            <w:r w:rsidRPr="00322F60">
              <w:rPr>
                <w:color w:val="000000" w:themeColor="text1"/>
                <w:kern w:val="24"/>
                <w:lang w:val="en-GB"/>
              </w:rPr>
              <w:t>1.158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6F95DEA" w14:textId="77777777" w:rsidR="00811D62" w:rsidRPr="00322F60" w:rsidRDefault="00811D62" w:rsidP="00811D62">
            <w:pPr>
              <w:pStyle w:val="Text"/>
              <w:tabs>
                <w:tab w:val="decimal" w:pos="582"/>
              </w:tabs>
              <w:ind w:firstLine="0"/>
              <w:rPr>
                <w:lang w:val="en-GB"/>
              </w:rPr>
            </w:pPr>
            <w:r w:rsidRPr="00322F60">
              <w:rPr>
                <w:color w:val="000000" w:themeColor="text1"/>
                <w:kern w:val="24"/>
                <w:lang w:val="en-GB"/>
              </w:rPr>
              <w:t>7.74</w:t>
            </w:r>
          </w:p>
        </w:tc>
      </w:tr>
      <w:tr w:rsidR="00811D62" w:rsidRPr="00322F60" w14:paraId="0C4A82D6" w14:textId="77777777" w:rsidTr="00811D62">
        <w:trPr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C14EA" w14:textId="77777777" w:rsidR="00811D62" w:rsidRPr="00322F60" w:rsidRDefault="00811D62" w:rsidP="00811D62">
            <w:pPr>
              <w:pStyle w:val="Text"/>
              <w:ind w:firstLine="0"/>
              <w:rPr>
                <w:lang w:val="en-GB"/>
              </w:rPr>
            </w:pPr>
            <w:r w:rsidRPr="00322F60">
              <w:rPr>
                <w:lang w:val="en-GB"/>
              </w:rPr>
              <w:t>NMG4.25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B190C" w14:textId="77777777" w:rsidR="00811D62" w:rsidRPr="00322F60" w:rsidRDefault="00811D62" w:rsidP="00811D62">
            <w:pPr>
              <w:pStyle w:val="Text"/>
              <w:tabs>
                <w:tab w:val="decimal" w:pos="582"/>
              </w:tabs>
              <w:ind w:firstLine="0"/>
              <w:rPr>
                <w:lang w:val="en-GB"/>
              </w:rPr>
            </w:pPr>
            <w:r w:rsidRPr="00322F60">
              <w:rPr>
                <w:color w:val="000000" w:themeColor="text1"/>
                <w:kern w:val="24"/>
                <w:lang w:val="en-GB"/>
              </w:rPr>
              <w:t>Ni</w:t>
            </w:r>
            <w:r w:rsidRPr="00322F60">
              <w:rPr>
                <w:color w:val="000000" w:themeColor="text1"/>
                <w:kern w:val="24"/>
                <w:position w:val="-9"/>
                <w:vertAlign w:val="subscript"/>
                <w:lang w:val="en-GB"/>
              </w:rPr>
              <w:t>45.9</w:t>
            </w:r>
            <w:r w:rsidRPr="00322F60">
              <w:rPr>
                <w:color w:val="000000" w:themeColor="text1"/>
                <w:kern w:val="24"/>
                <w:lang w:val="en-GB"/>
              </w:rPr>
              <w:t>Mn</w:t>
            </w:r>
            <w:r w:rsidRPr="00322F60">
              <w:rPr>
                <w:color w:val="000000" w:themeColor="text1"/>
                <w:kern w:val="24"/>
                <w:position w:val="-9"/>
                <w:vertAlign w:val="subscript"/>
                <w:lang w:val="en-GB"/>
              </w:rPr>
              <w:t>20.6</w:t>
            </w:r>
            <w:r w:rsidRPr="00322F60">
              <w:rPr>
                <w:color w:val="000000" w:themeColor="text1"/>
                <w:kern w:val="24"/>
                <w:lang w:val="en-GB"/>
              </w:rPr>
              <w:t>Ga</w:t>
            </w:r>
            <w:r w:rsidRPr="00322F60">
              <w:rPr>
                <w:color w:val="000000" w:themeColor="text1"/>
                <w:kern w:val="24"/>
                <w:position w:val="-9"/>
                <w:vertAlign w:val="subscript"/>
                <w:lang w:val="en-GB"/>
              </w:rPr>
              <w:t>25.1</w:t>
            </w:r>
            <w:r w:rsidRPr="00322F60">
              <w:rPr>
                <w:color w:val="000000" w:themeColor="text1"/>
                <w:kern w:val="24"/>
                <w:lang w:val="en-GB"/>
              </w:rPr>
              <w:t>Co</w:t>
            </w:r>
            <w:r w:rsidRPr="00322F60">
              <w:rPr>
                <w:color w:val="000000" w:themeColor="text1"/>
                <w:kern w:val="24"/>
                <w:position w:val="-9"/>
                <w:vertAlign w:val="subscript"/>
                <w:lang w:val="en-GB"/>
              </w:rPr>
              <w:t>4.9</w:t>
            </w:r>
            <w:r w:rsidRPr="00322F60">
              <w:rPr>
                <w:color w:val="000000" w:themeColor="text1"/>
                <w:kern w:val="24"/>
                <w:lang w:val="en-GB"/>
              </w:rPr>
              <w:t>Cu</w:t>
            </w:r>
            <w:r w:rsidRPr="00322F60">
              <w:rPr>
                <w:color w:val="000000" w:themeColor="text1"/>
                <w:kern w:val="24"/>
                <w:position w:val="-9"/>
                <w:vertAlign w:val="subscript"/>
                <w:lang w:val="en-GB"/>
              </w:rPr>
              <w:t>3.6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C9224" w14:textId="77777777" w:rsidR="00811D62" w:rsidRPr="00322F60" w:rsidRDefault="00811D62" w:rsidP="00811D62">
            <w:pPr>
              <w:pStyle w:val="Text"/>
              <w:tabs>
                <w:tab w:val="decimal" w:pos="582"/>
              </w:tabs>
              <w:ind w:firstLine="0"/>
              <w:rPr>
                <w:lang w:val="en-GB"/>
              </w:rPr>
            </w:pPr>
            <w:r w:rsidRPr="00322F60">
              <w:rPr>
                <w:color w:val="000000" w:themeColor="text1"/>
                <w:kern w:val="24"/>
                <w:lang w:val="en-GB"/>
              </w:rPr>
              <w:t>1.137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FF2C12" w14:textId="77777777" w:rsidR="00811D62" w:rsidRPr="00322F60" w:rsidRDefault="00811D62" w:rsidP="00811D62">
            <w:pPr>
              <w:pStyle w:val="Text"/>
              <w:tabs>
                <w:tab w:val="decimal" w:pos="582"/>
              </w:tabs>
              <w:ind w:firstLine="0"/>
              <w:rPr>
                <w:lang w:val="en-GB"/>
              </w:rPr>
            </w:pPr>
            <w:r w:rsidRPr="00322F60">
              <w:rPr>
                <w:color w:val="000000" w:themeColor="text1"/>
                <w:kern w:val="24"/>
                <w:lang w:val="en-GB"/>
              </w:rPr>
              <w:t>7.61</w:t>
            </w:r>
          </w:p>
        </w:tc>
      </w:tr>
      <w:tr w:rsidR="00811D62" w:rsidRPr="00322F60" w14:paraId="5FE21BBA" w14:textId="77777777" w:rsidTr="00811D62">
        <w:trPr>
          <w:jc w:val="center"/>
        </w:trPr>
        <w:tc>
          <w:tcPr>
            <w:tcW w:w="11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18A0C7B" w14:textId="77777777" w:rsidR="00811D62" w:rsidRPr="00322F60" w:rsidRDefault="00811D62" w:rsidP="00811D62">
            <w:pPr>
              <w:pStyle w:val="Text"/>
              <w:ind w:firstLine="0"/>
              <w:rPr>
                <w:lang w:val="en-GB"/>
              </w:rPr>
            </w:pPr>
            <w:r w:rsidRPr="00322F60">
              <w:rPr>
                <w:lang w:val="en-GB"/>
              </w:rPr>
              <w:t>NMG0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80DA220" w14:textId="77777777" w:rsidR="00811D62" w:rsidRPr="00322F60" w:rsidRDefault="00811D62" w:rsidP="00811D62">
            <w:pPr>
              <w:pStyle w:val="Text"/>
              <w:tabs>
                <w:tab w:val="decimal" w:pos="582"/>
              </w:tabs>
              <w:ind w:firstLine="0"/>
              <w:rPr>
                <w:lang w:val="en-GB"/>
              </w:rPr>
            </w:pPr>
            <w:r w:rsidRPr="00322F60">
              <w:rPr>
                <w:color w:val="000000" w:themeColor="text1"/>
                <w:kern w:val="24"/>
                <w:lang w:val="en-GB"/>
              </w:rPr>
              <w:t>Ni</w:t>
            </w:r>
            <w:r w:rsidRPr="00322F60">
              <w:rPr>
                <w:color w:val="000000" w:themeColor="text1"/>
                <w:kern w:val="24"/>
                <w:position w:val="-9"/>
                <w:vertAlign w:val="subscript"/>
                <w:lang w:val="en-GB"/>
              </w:rPr>
              <w:t>50.5</w:t>
            </w:r>
            <w:r w:rsidRPr="00322F60">
              <w:rPr>
                <w:color w:val="000000" w:themeColor="text1"/>
                <w:kern w:val="24"/>
                <w:lang w:val="en-GB"/>
              </w:rPr>
              <w:t>Mn</w:t>
            </w:r>
            <w:r w:rsidRPr="00322F60">
              <w:rPr>
                <w:color w:val="000000" w:themeColor="text1"/>
                <w:kern w:val="24"/>
                <w:position w:val="-9"/>
                <w:vertAlign w:val="subscript"/>
                <w:lang w:val="en-GB"/>
              </w:rPr>
              <w:t>30.4</w:t>
            </w:r>
            <w:r w:rsidRPr="00322F60">
              <w:rPr>
                <w:color w:val="000000" w:themeColor="text1"/>
                <w:kern w:val="24"/>
                <w:lang w:val="en-GB"/>
              </w:rPr>
              <w:t>Ga</w:t>
            </w:r>
            <w:r w:rsidRPr="00322F60">
              <w:rPr>
                <w:color w:val="000000" w:themeColor="text1"/>
                <w:kern w:val="24"/>
                <w:position w:val="-9"/>
                <w:vertAlign w:val="subscript"/>
                <w:lang w:val="en-GB"/>
              </w:rPr>
              <w:t>19.1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E117E7D" w14:textId="77777777" w:rsidR="00811D62" w:rsidRPr="00322F60" w:rsidRDefault="00811D62" w:rsidP="00811D62">
            <w:pPr>
              <w:pStyle w:val="Text"/>
              <w:tabs>
                <w:tab w:val="decimal" w:pos="582"/>
              </w:tabs>
              <w:ind w:firstLine="0"/>
              <w:rPr>
                <w:lang w:val="en-GB"/>
              </w:rPr>
            </w:pPr>
            <w:r w:rsidRPr="00322F60">
              <w:rPr>
                <w:color w:val="000000" w:themeColor="text1"/>
                <w:kern w:val="24"/>
                <w:lang w:val="en-GB"/>
              </w:rPr>
              <w:t>1.207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2E6B96" w14:textId="77777777" w:rsidR="00811D62" w:rsidRPr="00322F60" w:rsidRDefault="00811D62" w:rsidP="00811D62">
            <w:pPr>
              <w:pStyle w:val="Text"/>
              <w:tabs>
                <w:tab w:val="decimal" w:pos="582"/>
              </w:tabs>
              <w:ind w:firstLine="0"/>
              <w:rPr>
                <w:lang w:val="en-GB"/>
              </w:rPr>
            </w:pPr>
            <w:r w:rsidRPr="00322F60">
              <w:rPr>
                <w:color w:val="000000" w:themeColor="text1"/>
                <w:kern w:val="24"/>
                <w:lang w:val="en-GB"/>
              </w:rPr>
              <w:t>7.75</w:t>
            </w:r>
          </w:p>
        </w:tc>
      </w:tr>
    </w:tbl>
    <w:p w14:paraId="004E9E4B" w14:textId="77777777" w:rsidR="009F320B" w:rsidRDefault="009F320B" w:rsidP="0015723F">
      <w:pPr>
        <w:pStyle w:val="Title3"/>
        <w:jc w:val="both"/>
        <w:rPr>
          <w:lang w:val="en-GB"/>
        </w:rPr>
      </w:pPr>
    </w:p>
    <w:p w14:paraId="631B500D" w14:textId="77777777" w:rsidR="009F320B" w:rsidRDefault="009F320B" w:rsidP="009F320B">
      <w:pPr>
        <w:pStyle w:val="Title2"/>
        <w:rPr>
          <w:lang w:val="en-GB"/>
        </w:rPr>
      </w:pPr>
      <w:r>
        <w:rPr>
          <w:lang w:val="en-GB"/>
        </w:rPr>
        <w:t>Results and discussion</w:t>
      </w:r>
    </w:p>
    <w:p w14:paraId="29DAF464" w14:textId="32A0CF0D" w:rsidR="0015723F" w:rsidRDefault="00DF4A8F" w:rsidP="0015723F">
      <w:pPr>
        <w:pStyle w:val="Title3"/>
        <w:jc w:val="both"/>
        <w:rPr>
          <w:lang w:val="en-GB"/>
        </w:rPr>
      </w:pPr>
      <w:r>
        <w:rPr>
          <w:lang w:val="en-GB"/>
        </w:rPr>
        <w:t>The example</w:t>
      </w:r>
      <w:r w:rsidR="00AC699B">
        <w:rPr>
          <w:lang w:val="en-GB"/>
        </w:rPr>
        <w:t>s</w:t>
      </w:r>
      <w:r>
        <w:rPr>
          <w:lang w:val="en-GB"/>
        </w:rPr>
        <w:t xml:space="preserve"> of </w:t>
      </w:r>
      <w:r w:rsidR="00C249E4">
        <w:rPr>
          <w:lang w:val="en-GB"/>
        </w:rPr>
        <w:t>magnetization curves of the NMG3 alloy</w:t>
      </w:r>
      <w:r>
        <w:rPr>
          <w:lang w:val="en-GB"/>
        </w:rPr>
        <w:t xml:space="preserve"> corrected for demagnetization</w:t>
      </w:r>
      <w:r w:rsidR="00C249E4">
        <w:rPr>
          <w:lang w:val="en-GB"/>
        </w:rPr>
        <w:t xml:space="preserve"> are presented in </w:t>
      </w:r>
      <w:r>
        <w:rPr>
          <w:lang w:val="en-GB"/>
        </w:rPr>
        <w:t>F</w:t>
      </w:r>
      <w:r w:rsidR="00C249E4">
        <w:rPr>
          <w:lang w:val="en-GB"/>
        </w:rPr>
        <w:t>igure 1</w:t>
      </w:r>
      <w:r w:rsidR="00460AC9">
        <w:rPr>
          <w:lang w:val="en-GB"/>
        </w:rPr>
        <w:t>a</w:t>
      </w:r>
      <w:r w:rsidR="00C249E4">
        <w:rPr>
          <w:lang w:val="en-GB"/>
        </w:rPr>
        <w:t xml:space="preserve"> both for martensite and austenite phases. The curves </w:t>
      </w:r>
      <w:r>
        <w:rPr>
          <w:lang w:val="en-GB"/>
        </w:rPr>
        <w:t xml:space="preserve">of martensite </w:t>
      </w:r>
      <w:r w:rsidR="00C249E4">
        <w:rPr>
          <w:lang w:val="en-GB"/>
        </w:rPr>
        <w:t>were almost hysteresis-free, and hence almost only the rotation of the spontaneous</w:t>
      </w:r>
      <w:r w:rsidR="0015723F">
        <w:rPr>
          <w:lang w:val="en-GB"/>
        </w:rPr>
        <w:t xml:space="preserve"> magnetization vector </w:t>
      </w:r>
      <w:r w:rsidR="00C249E4">
        <w:rPr>
          <w:lang w:val="en-GB"/>
        </w:rPr>
        <w:t xml:space="preserve">occurred </w:t>
      </w:r>
      <w:r>
        <w:rPr>
          <w:lang w:val="en-GB"/>
        </w:rPr>
        <w:t>out of easy plane</w:t>
      </w:r>
      <w:r w:rsidR="00C249E4">
        <w:rPr>
          <w:lang w:val="en-GB"/>
        </w:rPr>
        <w:t>. Magnetic saturation of austenite</w:t>
      </w:r>
      <w:r w:rsidR="0015723F">
        <w:rPr>
          <w:lang w:val="en-GB"/>
        </w:rPr>
        <w:t xml:space="preserve"> occurred almost immediately during magnetization process, resulting in square-like magnetization curve.</w:t>
      </w:r>
    </w:p>
    <w:p w14:paraId="4FDE773F" w14:textId="77777777" w:rsidR="0015723F" w:rsidRDefault="0015723F" w:rsidP="0015723F">
      <w:pPr>
        <w:pStyle w:val="Text-1odstavec"/>
        <w:rPr>
          <w:rFonts w:eastAsia="Times New Roman"/>
          <w:szCs w:val="28"/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5"/>
        <w:gridCol w:w="4366"/>
      </w:tblGrid>
      <w:tr w:rsidR="00460AC9" w14:paraId="69C7FE88" w14:textId="77777777" w:rsidTr="00460AC9">
        <w:tc>
          <w:tcPr>
            <w:tcW w:w="4329" w:type="dxa"/>
          </w:tcPr>
          <w:p w14:paraId="24917A57" w14:textId="77777777" w:rsidR="00460AC9" w:rsidRDefault="00460AC9" w:rsidP="00460AC9">
            <w:pPr>
              <w:pStyle w:val="Text"/>
              <w:ind w:firstLine="0"/>
              <w:rPr>
                <w:lang w:val="en-GB"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02F1A928" wp14:editId="0BF318BC">
                  <wp:extent cx="2576830" cy="1977607"/>
                  <wp:effectExtent l="0" t="0" r="0" b="0"/>
                  <wp:docPr id="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/>
                          <a:srcRect t="-10187" b="1"/>
                          <a:stretch/>
                        </pic:blipFill>
                        <pic:spPr bwMode="auto">
                          <a:xfrm>
                            <a:off x="0" y="0"/>
                            <a:ext cx="2584852" cy="198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</w:tcPr>
          <w:p w14:paraId="7C0F15E5" w14:textId="77777777" w:rsidR="00460AC9" w:rsidRDefault="00460AC9" w:rsidP="00460AC9">
            <w:pPr>
              <w:pStyle w:val="Text"/>
              <w:ind w:firstLine="0"/>
              <w:rPr>
                <w:lang w:val="en-GB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808966E" wp14:editId="4C7FB1EC">
                  <wp:extent cx="2687526" cy="1970285"/>
                  <wp:effectExtent l="0" t="0" r="0" b="0"/>
                  <wp:docPr id="4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211" cy="1974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7C897D" w14:textId="77777777" w:rsidR="00460AC9" w:rsidRPr="00460AC9" w:rsidRDefault="00460AC9" w:rsidP="00460AC9">
      <w:pPr>
        <w:pStyle w:val="Text"/>
        <w:rPr>
          <w:lang w:val="en-GB"/>
        </w:rPr>
      </w:pPr>
    </w:p>
    <w:p w14:paraId="1CB35156" w14:textId="77777777" w:rsidR="00C249E4" w:rsidRDefault="00C249E4" w:rsidP="00C249E4">
      <w:pPr>
        <w:pStyle w:val="Text"/>
        <w:rPr>
          <w:lang w:val="en-GB"/>
        </w:rPr>
      </w:pPr>
      <w:r w:rsidRPr="00460AC9">
        <w:rPr>
          <w:b/>
          <w:bCs/>
          <w:lang w:val="en-GB"/>
        </w:rPr>
        <w:t>Figure 1</w:t>
      </w:r>
      <w:r>
        <w:rPr>
          <w:lang w:val="en-GB"/>
        </w:rPr>
        <w:t xml:space="preserve"> </w:t>
      </w:r>
      <w:r w:rsidR="00460AC9">
        <w:rPr>
          <w:lang w:val="en-GB"/>
        </w:rPr>
        <w:t>(a) Selected m</w:t>
      </w:r>
      <w:r>
        <w:rPr>
          <w:lang w:val="en-GB"/>
        </w:rPr>
        <w:t xml:space="preserve">agnetization curves </w:t>
      </w:r>
      <w:r w:rsidR="00460AC9">
        <w:rPr>
          <w:lang w:val="en-GB"/>
        </w:rPr>
        <w:t>for</w:t>
      </w:r>
      <w:r>
        <w:rPr>
          <w:lang w:val="en-GB"/>
        </w:rPr>
        <w:t xml:space="preserve"> the NMG3 alloy. The curves were corrected for demagnetization. Anisotropy field</w:t>
      </w:r>
      <w:r w:rsidR="0015723F">
        <w:rPr>
          <w:lang w:val="en-GB"/>
        </w:rPr>
        <w:t>s</w:t>
      </w:r>
      <w:r>
        <w:rPr>
          <w:lang w:val="en-GB"/>
        </w:rPr>
        <w:t xml:space="preserve"> at </w:t>
      </w:r>
      <w:r w:rsidR="0015723F">
        <w:rPr>
          <w:lang w:val="en-GB"/>
        </w:rPr>
        <w:t xml:space="preserve">temperatures </w:t>
      </w:r>
      <w:r w:rsidR="0015723F" w:rsidRPr="0015723F">
        <w:rPr>
          <w:i/>
          <w:lang w:val="en-GB"/>
        </w:rPr>
        <w:t>T</w:t>
      </w:r>
      <w:r w:rsidR="0015723F">
        <w:rPr>
          <w:lang w:val="en-GB"/>
        </w:rPr>
        <w:t xml:space="preserve"> = </w:t>
      </w:r>
      <w:r>
        <w:rPr>
          <w:lang w:val="en-GB"/>
        </w:rPr>
        <w:t xml:space="preserve">10 </w:t>
      </w:r>
      <w:r w:rsidR="0015723F">
        <w:rPr>
          <w:lang w:val="en-GB"/>
        </w:rPr>
        <w:t>and 300 K are</w:t>
      </w:r>
      <w:r>
        <w:rPr>
          <w:lang w:val="en-GB"/>
        </w:rPr>
        <w:t xml:space="preserve"> marked </w:t>
      </w:r>
      <w:r w:rsidRPr="00C249E4">
        <w:rPr>
          <w:i/>
          <w:lang w:val="en-GB"/>
        </w:rPr>
        <w:t>H</w:t>
      </w:r>
      <w:r w:rsidRPr="00C249E4">
        <w:rPr>
          <w:vertAlign w:val="subscript"/>
          <w:lang w:val="en-GB"/>
        </w:rPr>
        <w:t>A</w:t>
      </w:r>
      <w:r w:rsidRPr="00C249E4">
        <w:rPr>
          <w:vertAlign w:val="superscript"/>
          <w:lang w:val="en-GB"/>
        </w:rPr>
        <w:t>10</w:t>
      </w:r>
      <w:r>
        <w:rPr>
          <w:lang w:val="en-GB"/>
        </w:rPr>
        <w:t xml:space="preserve"> and </w:t>
      </w:r>
      <w:r w:rsidRPr="00C249E4">
        <w:rPr>
          <w:i/>
          <w:lang w:val="en-GB"/>
        </w:rPr>
        <w:t>H</w:t>
      </w:r>
      <w:r w:rsidRPr="00C249E4">
        <w:rPr>
          <w:vertAlign w:val="subscript"/>
          <w:lang w:val="en-GB"/>
        </w:rPr>
        <w:t>A</w:t>
      </w:r>
      <w:r w:rsidRPr="00C249E4">
        <w:rPr>
          <w:vertAlign w:val="superscript"/>
          <w:lang w:val="en-GB"/>
        </w:rPr>
        <w:t>300</w:t>
      </w:r>
      <w:r>
        <w:rPr>
          <w:lang w:val="en-GB"/>
        </w:rPr>
        <w:t>, respectively.</w:t>
      </w:r>
      <w:r w:rsidR="00460AC9">
        <w:rPr>
          <w:lang w:val="en-GB"/>
        </w:rPr>
        <w:t xml:space="preserve"> (b) Temperature dependence of anisotropy constant </w:t>
      </w:r>
      <w:r w:rsidR="00460AC9" w:rsidRPr="00190D7D">
        <w:rPr>
          <w:i/>
          <w:lang w:val="en-GB"/>
        </w:rPr>
        <w:t>K</w:t>
      </w:r>
      <w:r w:rsidR="00460AC9" w:rsidRPr="00190D7D">
        <w:rPr>
          <w:vertAlign w:val="subscript"/>
          <w:lang w:val="en-GB"/>
        </w:rPr>
        <w:t>1</w:t>
      </w:r>
      <w:r w:rsidR="00460AC9">
        <w:rPr>
          <w:lang w:val="en-GB"/>
        </w:rPr>
        <w:t xml:space="preserve"> and saturation magnetization </w:t>
      </w:r>
      <w:r w:rsidR="00460AC9" w:rsidRPr="00190D7D">
        <w:rPr>
          <w:i/>
          <w:lang w:val="en-GB"/>
        </w:rPr>
        <w:t>M</w:t>
      </w:r>
      <w:r w:rsidR="00460AC9" w:rsidRPr="00190D7D">
        <w:rPr>
          <w:vertAlign w:val="subscript"/>
          <w:lang w:val="en-GB"/>
        </w:rPr>
        <w:t>s</w:t>
      </w:r>
      <w:r w:rsidR="00460AC9">
        <w:rPr>
          <w:lang w:val="en-GB"/>
        </w:rPr>
        <w:t xml:space="preserve"> of the NMG3 alloy determined from such curves. The quantity </w:t>
      </w:r>
      <w:r w:rsidR="00460AC9" w:rsidRPr="00985CCF">
        <w:rPr>
          <w:i/>
          <w:lang w:val="en-GB"/>
        </w:rPr>
        <w:t>T</w:t>
      </w:r>
      <w:r w:rsidR="00460AC9" w:rsidRPr="00985CCF">
        <w:rPr>
          <w:vertAlign w:val="subscript"/>
          <w:lang w:val="en-GB"/>
        </w:rPr>
        <w:t>C</w:t>
      </w:r>
      <w:r w:rsidR="00460AC9" w:rsidRPr="00985CCF">
        <w:rPr>
          <w:vertAlign w:val="superscript"/>
          <w:lang w:val="en-GB"/>
        </w:rPr>
        <w:t>M</w:t>
      </w:r>
      <w:r w:rsidR="00460AC9">
        <w:rPr>
          <w:lang w:val="en-GB"/>
        </w:rPr>
        <w:t xml:space="preserve"> is the Curie temperature of the martensite. Both graphs were taken from [4].</w:t>
      </w:r>
    </w:p>
    <w:p w14:paraId="26440A50" w14:textId="77777777" w:rsidR="00C249E4" w:rsidRDefault="00C249E4" w:rsidP="00C249E4">
      <w:pPr>
        <w:pStyle w:val="Text"/>
        <w:jc w:val="left"/>
        <w:rPr>
          <w:lang w:val="en-GB"/>
        </w:rPr>
      </w:pPr>
    </w:p>
    <w:p w14:paraId="1B4C7023" w14:textId="30265414" w:rsidR="00460AC9" w:rsidRDefault="00460AC9" w:rsidP="00460AC9">
      <w:pPr>
        <w:pStyle w:val="Text"/>
        <w:rPr>
          <w:lang w:val="en-GB"/>
        </w:rPr>
      </w:pPr>
      <w:r>
        <w:rPr>
          <w:lang w:val="en-GB"/>
        </w:rPr>
        <w:t xml:space="preserve">From the measured hysteresis loops in different temperatures the temperature dependence of the anisotropy constant </w:t>
      </w:r>
      <w:r w:rsidRPr="00985CCF">
        <w:rPr>
          <w:i/>
          <w:lang w:val="en-GB"/>
        </w:rPr>
        <w:t>K</w:t>
      </w:r>
      <w:r w:rsidRPr="00985CCF">
        <w:rPr>
          <w:vertAlign w:val="subscript"/>
          <w:lang w:val="en-GB"/>
        </w:rPr>
        <w:t>1</w:t>
      </w:r>
      <w:r>
        <w:rPr>
          <w:lang w:val="en-GB"/>
        </w:rPr>
        <w:t xml:space="preserve"> was determined according to equation (1) shown in Figure 1b. Instead of absolute temperature </w:t>
      </w:r>
      <w:r w:rsidRPr="00985CCF">
        <w:rPr>
          <w:i/>
          <w:lang w:val="en-GB"/>
        </w:rPr>
        <w:t>T</w:t>
      </w:r>
      <w:r>
        <w:rPr>
          <w:lang w:val="en-GB"/>
        </w:rPr>
        <w:t xml:space="preserve"> we used relative temperature </w:t>
      </w:r>
      <w:r w:rsidRPr="00985CCF">
        <w:rPr>
          <w:i/>
          <w:lang w:val="en-GB"/>
        </w:rPr>
        <w:t>t</w:t>
      </w:r>
      <w:r>
        <w:rPr>
          <w:lang w:val="en-GB"/>
        </w:rPr>
        <w:t xml:space="preserve"> = </w:t>
      </w:r>
      <w:r w:rsidRPr="00985CCF">
        <w:rPr>
          <w:i/>
          <w:lang w:val="en-GB"/>
        </w:rPr>
        <w:t>T</w:t>
      </w:r>
      <w:r>
        <w:rPr>
          <w:lang w:val="en-GB"/>
        </w:rPr>
        <w:t>/</w:t>
      </w:r>
      <w:r w:rsidRPr="00985CCF">
        <w:rPr>
          <w:i/>
          <w:lang w:val="en-GB"/>
        </w:rPr>
        <w:t>T</w:t>
      </w:r>
      <w:r w:rsidRPr="00985CCF">
        <w:rPr>
          <w:vertAlign w:val="subscript"/>
          <w:lang w:val="en-GB"/>
        </w:rPr>
        <w:t>C</w:t>
      </w:r>
      <w:r w:rsidRPr="00985CCF">
        <w:rPr>
          <w:vertAlign w:val="superscript"/>
          <w:lang w:val="en-GB"/>
        </w:rPr>
        <w:t>M</w:t>
      </w:r>
      <w:r>
        <w:rPr>
          <w:lang w:val="en-GB"/>
        </w:rPr>
        <w:t xml:space="preserve">, where </w:t>
      </w:r>
      <w:r w:rsidRPr="00985CCF">
        <w:rPr>
          <w:i/>
          <w:lang w:val="en-GB"/>
        </w:rPr>
        <w:t>T</w:t>
      </w:r>
      <w:r w:rsidRPr="00985CCF">
        <w:rPr>
          <w:vertAlign w:val="subscript"/>
          <w:lang w:val="en-GB"/>
        </w:rPr>
        <w:t>C</w:t>
      </w:r>
      <w:r w:rsidRPr="00985CCF">
        <w:rPr>
          <w:vertAlign w:val="superscript"/>
          <w:lang w:val="en-GB"/>
        </w:rPr>
        <w:t>M</w:t>
      </w:r>
      <w:r>
        <w:rPr>
          <w:lang w:val="en-GB"/>
        </w:rPr>
        <w:t xml:space="preserve"> is the Curie temperature of martensite. </w:t>
      </w:r>
      <w:r w:rsidRPr="00C25A70">
        <w:rPr>
          <w:i/>
          <w:lang w:val="en-GB"/>
        </w:rPr>
        <w:t>T</w:t>
      </w:r>
      <w:r w:rsidRPr="00C25A70">
        <w:rPr>
          <w:vertAlign w:val="subscript"/>
          <w:lang w:val="en-GB"/>
        </w:rPr>
        <w:t>C</w:t>
      </w:r>
      <w:r w:rsidRPr="00C25A70">
        <w:rPr>
          <w:vertAlign w:val="superscript"/>
          <w:lang w:val="en-GB"/>
        </w:rPr>
        <w:t>M</w:t>
      </w:r>
      <w:r>
        <w:rPr>
          <w:lang w:val="en-GB"/>
        </w:rPr>
        <w:t xml:space="preserve"> was estimated from magnetization curves of martensite measured at temperatures near the martensitic transition temperature, using </w:t>
      </w:r>
      <w:proofErr w:type="spellStart"/>
      <w:r>
        <w:rPr>
          <w:lang w:val="en-GB"/>
        </w:rPr>
        <w:t>Arrott</w:t>
      </w:r>
      <w:proofErr w:type="spellEnd"/>
      <w:r>
        <w:rPr>
          <w:lang w:val="en-GB"/>
        </w:rPr>
        <w:t xml:space="preserve"> plot technique [6]. With increasing temperature both </w:t>
      </w:r>
      <w:r w:rsidRPr="00405613">
        <w:rPr>
          <w:i/>
          <w:lang w:val="en-GB"/>
        </w:rPr>
        <w:t>K</w:t>
      </w:r>
      <w:r w:rsidRPr="00405613">
        <w:rPr>
          <w:vertAlign w:val="subscript"/>
          <w:lang w:val="en-GB"/>
        </w:rPr>
        <w:t>1</w:t>
      </w:r>
      <w:r>
        <w:rPr>
          <w:lang w:val="en-GB"/>
        </w:rPr>
        <w:t xml:space="preserve"> and </w:t>
      </w:r>
      <w:r w:rsidRPr="00405613">
        <w:rPr>
          <w:i/>
          <w:lang w:val="en-GB"/>
        </w:rPr>
        <w:t>M</w:t>
      </w:r>
      <w:r w:rsidRPr="00405613">
        <w:rPr>
          <w:vertAlign w:val="subscript"/>
          <w:lang w:val="en-GB"/>
        </w:rPr>
        <w:t>s</w:t>
      </w:r>
      <w:r>
        <w:rPr>
          <w:lang w:val="en-GB"/>
        </w:rPr>
        <w:t xml:space="preserve"> of martensite decrease. Behaviour of the remaining doped alloys </w:t>
      </w:r>
      <w:r w:rsidR="005E13B4">
        <w:rPr>
          <w:lang w:val="en-GB"/>
        </w:rPr>
        <w:t>was</w:t>
      </w:r>
      <w:r>
        <w:rPr>
          <w:lang w:val="en-GB"/>
        </w:rPr>
        <w:t xml:space="preserve"> very similar [6]. From </w:t>
      </w:r>
      <w:r w:rsidR="0096127C">
        <w:rPr>
          <w:lang w:val="en-GB"/>
        </w:rPr>
        <w:t>the relation</w:t>
      </w:r>
      <w:r>
        <w:rPr>
          <w:lang w:val="en-GB"/>
        </w:rPr>
        <w:t xml:space="preserve"> </w:t>
      </w:r>
      <w:r w:rsidRPr="00405613">
        <w:rPr>
          <w:i/>
          <w:lang w:val="en-GB"/>
        </w:rPr>
        <w:t>K</w:t>
      </w:r>
      <w:r w:rsidRPr="00405613">
        <w:rPr>
          <w:vertAlign w:val="subscript"/>
          <w:lang w:val="en-GB"/>
        </w:rPr>
        <w:t>1</w:t>
      </w:r>
      <w:r>
        <w:rPr>
          <w:lang w:val="en-GB"/>
        </w:rPr>
        <w:t>(</w:t>
      </w:r>
      <w:r w:rsidRPr="00405613">
        <w:rPr>
          <w:i/>
          <w:lang w:val="en-GB"/>
        </w:rPr>
        <w:t>T</w:t>
      </w:r>
      <w:r>
        <w:rPr>
          <w:lang w:val="en-GB"/>
        </w:rPr>
        <w:t>/</w:t>
      </w:r>
      <w:r w:rsidRPr="00405613">
        <w:rPr>
          <w:i/>
          <w:lang w:val="en-GB"/>
        </w:rPr>
        <w:t>T</w:t>
      </w:r>
      <w:r w:rsidRPr="00405613">
        <w:rPr>
          <w:vertAlign w:val="subscript"/>
          <w:lang w:val="en-GB"/>
        </w:rPr>
        <w:t>C</w:t>
      </w:r>
      <w:r w:rsidRPr="00405613">
        <w:rPr>
          <w:vertAlign w:val="superscript"/>
          <w:lang w:val="en-GB"/>
        </w:rPr>
        <w:t>M</w:t>
      </w:r>
      <w:r>
        <w:rPr>
          <w:lang w:val="en-GB"/>
        </w:rPr>
        <w:t xml:space="preserve">) </w:t>
      </w:r>
      <w:r w:rsidR="0096127C">
        <w:rPr>
          <w:lang w:val="en-GB"/>
        </w:rPr>
        <w:sym w:font="Symbol" w:char="F0BB"/>
      </w:r>
      <w:r>
        <w:rPr>
          <w:lang w:val="en-GB"/>
        </w:rPr>
        <w:t xml:space="preserve"> [</w:t>
      </w:r>
      <w:r w:rsidRPr="00405613">
        <w:rPr>
          <w:i/>
          <w:lang w:val="en-GB"/>
        </w:rPr>
        <w:t>M</w:t>
      </w:r>
      <w:r w:rsidRPr="00405613">
        <w:rPr>
          <w:vertAlign w:val="subscript"/>
          <w:lang w:val="en-GB"/>
        </w:rPr>
        <w:t>s</w:t>
      </w:r>
      <w:r>
        <w:rPr>
          <w:lang w:val="en-GB"/>
        </w:rPr>
        <w:t>(</w:t>
      </w:r>
      <w:r w:rsidRPr="00405613">
        <w:rPr>
          <w:i/>
          <w:lang w:val="en-GB"/>
        </w:rPr>
        <w:t>T</w:t>
      </w:r>
      <w:r>
        <w:rPr>
          <w:lang w:val="en-GB"/>
        </w:rPr>
        <w:t>/</w:t>
      </w:r>
      <w:r w:rsidRPr="00405613">
        <w:rPr>
          <w:i/>
          <w:lang w:val="en-GB"/>
        </w:rPr>
        <w:t>T</w:t>
      </w:r>
      <w:r w:rsidRPr="00405613">
        <w:rPr>
          <w:vertAlign w:val="subscript"/>
          <w:lang w:val="en-GB"/>
        </w:rPr>
        <w:t>C</w:t>
      </w:r>
      <w:r w:rsidRPr="00405613">
        <w:rPr>
          <w:vertAlign w:val="superscript"/>
          <w:lang w:val="en-GB"/>
        </w:rPr>
        <w:t>M</w:t>
      </w:r>
      <w:proofErr w:type="gramStart"/>
      <w:r>
        <w:rPr>
          <w:lang w:val="en-GB"/>
        </w:rPr>
        <w:t>)]</w:t>
      </w:r>
      <w:r w:rsidRPr="005169F3">
        <w:rPr>
          <w:i/>
          <w:vertAlign w:val="superscript"/>
          <w:lang w:val="en-GB"/>
        </w:rPr>
        <w:t>n</w:t>
      </w:r>
      <w:proofErr w:type="gramEnd"/>
      <w:r>
        <w:rPr>
          <w:lang w:val="en-GB"/>
        </w:rPr>
        <w:t xml:space="preserve"> </w:t>
      </w:r>
      <w:r w:rsidR="00EF50B3">
        <w:rPr>
          <w:lang w:val="en-GB"/>
        </w:rPr>
        <w:t xml:space="preserve">and </w:t>
      </w:r>
      <w:r w:rsidR="00EF50B3">
        <w:rPr>
          <w:lang w:val="en-GB"/>
        </w:rPr>
        <w:t xml:space="preserve">exponent </w:t>
      </w:r>
      <w:r w:rsidR="00EF50B3" w:rsidRPr="00405613">
        <w:rPr>
          <w:i/>
          <w:lang w:val="en-GB"/>
        </w:rPr>
        <w:t>n</w:t>
      </w:r>
      <w:r w:rsidR="00EF50B3">
        <w:rPr>
          <w:lang w:val="en-GB"/>
        </w:rPr>
        <w:t xml:space="preserve"> ≈ 3 at low temperatures </w:t>
      </w:r>
      <w:r>
        <w:rPr>
          <w:lang w:val="en-GB"/>
        </w:rPr>
        <w:t>we</w:t>
      </w:r>
      <w:r w:rsidR="0096127C">
        <w:rPr>
          <w:lang w:val="en-GB"/>
        </w:rPr>
        <w:t xml:space="preserve"> can</w:t>
      </w:r>
      <w:r>
        <w:rPr>
          <w:lang w:val="en-GB"/>
        </w:rPr>
        <w:t xml:space="preserve"> conclude that magnetocrystalline anisotropy in Ni-Mn-Ga-Co-Cu </w:t>
      </w:r>
      <w:r w:rsidR="0096127C">
        <w:rPr>
          <w:lang w:val="en-GB"/>
        </w:rPr>
        <w:t xml:space="preserve">martensite </w:t>
      </w:r>
      <w:r>
        <w:rPr>
          <w:lang w:val="en-GB"/>
        </w:rPr>
        <w:t>has single-ion origin [4].</w:t>
      </w:r>
    </w:p>
    <w:p w14:paraId="5E76B6B8" w14:textId="1ADD2021" w:rsidR="00460AC9" w:rsidRDefault="0096127C" w:rsidP="00460AC9">
      <w:pPr>
        <w:pStyle w:val="Text"/>
        <w:rPr>
          <w:lang w:val="en-GB"/>
        </w:rPr>
      </w:pPr>
      <w:r>
        <w:rPr>
          <w:lang w:val="en-GB"/>
        </w:rPr>
        <w:t xml:space="preserve">The measured anisotropy at </w:t>
      </w:r>
      <w:r w:rsidRPr="0052210D">
        <w:rPr>
          <w:i/>
          <w:lang w:val="en-GB"/>
        </w:rPr>
        <w:t>T</w:t>
      </w:r>
      <w:r>
        <w:rPr>
          <w:lang w:val="en-GB"/>
        </w:rPr>
        <w:t xml:space="preserve"> = 10 K we correlate</w:t>
      </w:r>
      <w:r w:rsidR="005E13B4">
        <w:rPr>
          <w:lang w:val="en-GB"/>
        </w:rPr>
        <w:t>d</w:t>
      </w:r>
      <w:r>
        <w:rPr>
          <w:lang w:val="en-GB"/>
        </w:rPr>
        <w:t xml:space="preserve"> </w:t>
      </w:r>
      <w:r w:rsidR="005E13B4">
        <w:rPr>
          <w:lang w:val="en-GB"/>
        </w:rPr>
        <w:t>with</w:t>
      </w:r>
      <w:r>
        <w:rPr>
          <w:lang w:val="en-GB"/>
        </w:rPr>
        <w:t xml:space="preserve"> </w:t>
      </w:r>
      <w:r w:rsidR="005E13B4">
        <w:rPr>
          <w:lang w:val="en-GB"/>
        </w:rPr>
        <w:t>various</w:t>
      </w:r>
      <w:r>
        <w:rPr>
          <w:lang w:val="en-GB"/>
        </w:rPr>
        <w:t xml:space="preserve"> variables expected from the theory to be significant for the anisotropy. F</w:t>
      </w:r>
      <w:r w:rsidR="00460AC9">
        <w:rPr>
          <w:lang w:val="en-GB"/>
        </w:rPr>
        <w:t>igure 2</w:t>
      </w:r>
      <w:r>
        <w:rPr>
          <w:lang w:val="en-GB"/>
        </w:rPr>
        <w:t xml:space="preserve"> presents the </w:t>
      </w:r>
      <w:r w:rsidR="00460AC9">
        <w:rPr>
          <w:lang w:val="en-GB"/>
        </w:rPr>
        <w:t xml:space="preserve">anisotropy constant </w:t>
      </w:r>
      <w:r w:rsidR="00460AC9" w:rsidRPr="0052210D">
        <w:rPr>
          <w:i/>
          <w:lang w:val="en-GB"/>
        </w:rPr>
        <w:t>K</w:t>
      </w:r>
      <w:r w:rsidR="00460AC9" w:rsidRPr="0052210D">
        <w:rPr>
          <w:vertAlign w:val="subscript"/>
          <w:lang w:val="en-GB"/>
        </w:rPr>
        <w:t>1</w:t>
      </w:r>
      <w:r w:rsidR="00460AC9">
        <w:rPr>
          <w:lang w:val="en-GB"/>
        </w:rPr>
        <w:t xml:space="preserve"> as a function of valence electron concentration </w:t>
      </w:r>
      <w:r w:rsidR="00460AC9" w:rsidRPr="0052210D">
        <w:rPr>
          <w:i/>
          <w:lang w:val="en-GB"/>
        </w:rPr>
        <w:t>e</w:t>
      </w:r>
      <w:r w:rsidR="00460AC9">
        <w:rPr>
          <w:lang w:val="en-GB"/>
        </w:rPr>
        <w:t>/</w:t>
      </w:r>
      <w:r w:rsidR="00460AC9" w:rsidRPr="0052210D">
        <w:rPr>
          <w:i/>
          <w:lang w:val="en-GB"/>
        </w:rPr>
        <w:t>a</w:t>
      </w:r>
      <w:r>
        <w:rPr>
          <w:i/>
          <w:lang w:val="en-GB"/>
        </w:rPr>
        <w:t xml:space="preserve"> </w:t>
      </w:r>
      <w:r w:rsidRPr="0096127C">
        <w:rPr>
          <w:iCs/>
          <w:lang w:val="en-GB"/>
        </w:rPr>
        <w:t xml:space="preserve">and </w:t>
      </w:r>
      <w:r>
        <w:rPr>
          <w:lang w:val="en-GB"/>
        </w:rPr>
        <w:t xml:space="preserve">tetragonality ratio </w:t>
      </w:r>
      <w:r w:rsidRPr="0052210D">
        <w:rPr>
          <w:i/>
          <w:lang w:val="en-GB"/>
        </w:rPr>
        <w:t>c</w:t>
      </w:r>
      <w:r>
        <w:rPr>
          <w:lang w:val="en-GB"/>
        </w:rPr>
        <w:t>/</w:t>
      </w:r>
      <w:r w:rsidRPr="0052210D">
        <w:rPr>
          <w:i/>
          <w:lang w:val="en-GB"/>
        </w:rPr>
        <w:t>a</w:t>
      </w:r>
      <w:r>
        <w:rPr>
          <w:lang w:val="en-GB"/>
        </w:rPr>
        <w:t xml:space="preserve">. To our surprise there is no clear trend with </w:t>
      </w:r>
      <w:r w:rsidR="005E13B4">
        <w:rPr>
          <w:lang w:val="en-GB"/>
        </w:rPr>
        <w:t>any of the</w:t>
      </w:r>
      <w:r>
        <w:rPr>
          <w:lang w:val="en-GB"/>
        </w:rPr>
        <w:t xml:space="preserve"> variables. </w:t>
      </w:r>
      <w:r w:rsidR="00460AC9">
        <w:rPr>
          <w:lang w:val="en-GB"/>
        </w:rPr>
        <w:t xml:space="preserve">From </w:t>
      </w:r>
      <w:r>
        <w:rPr>
          <w:lang w:val="en-GB"/>
        </w:rPr>
        <w:t xml:space="preserve">the </w:t>
      </w:r>
      <w:r w:rsidR="00460AC9">
        <w:rPr>
          <w:lang w:val="en-GB"/>
        </w:rPr>
        <w:t xml:space="preserve">calculations [7] we expect monotonous increase of </w:t>
      </w:r>
      <w:r w:rsidR="00460AC9" w:rsidRPr="0052210D">
        <w:rPr>
          <w:i/>
          <w:lang w:val="en-GB"/>
        </w:rPr>
        <w:t>K</w:t>
      </w:r>
      <w:r w:rsidR="00460AC9" w:rsidRPr="0052210D">
        <w:rPr>
          <w:vertAlign w:val="subscript"/>
          <w:lang w:val="en-GB"/>
        </w:rPr>
        <w:t>1</w:t>
      </w:r>
      <w:r w:rsidR="00460AC9">
        <w:rPr>
          <w:lang w:val="en-GB"/>
        </w:rPr>
        <w:t xml:space="preserve"> with increasing </w:t>
      </w:r>
      <w:r w:rsidR="00460AC9" w:rsidRPr="0052210D">
        <w:rPr>
          <w:i/>
          <w:lang w:val="en-GB"/>
        </w:rPr>
        <w:t>c</w:t>
      </w:r>
      <w:r w:rsidR="00460AC9">
        <w:rPr>
          <w:lang w:val="en-GB"/>
        </w:rPr>
        <w:t>/</w:t>
      </w:r>
      <w:r w:rsidR="00460AC9" w:rsidRPr="0052210D">
        <w:rPr>
          <w:i/>
          <w:lang w:val="en-GB"/>
        </w:rPr>
        <w:t>a</w:t>
      </w:r>
      <w:r w:rsidR="00460AC9">
        <w:rPr>
          <w:lang w:val="en-GB"/>
        </w:rPr>
        <w:t xml:space="preserve">, </w:t>
      </w:r>
      <w:r>
        <w:rPr>
          <w:lang w:val="en-GB"/>
        </w:rPr>
        <w:t xml:space="preserve">but </w:t>
      </w:r>
      <w:r w:rsidR="00460AC9">
        <w:rPr>
          <w:lang w:val="en-GB"/>
        </w:rPr>
        <w:t>no clear trend is observed.</w:t>
      </w:r>
    </w:p>
    <w:p w14:paraId="0B4CA00A" w14:textId="77777777" w:rsidR="00190D7D" w:rsidRDefault="00190D7D" w:rsidP="00190D7D">
      <w:pPr>
        <w:pStyle w:val="Text"/>
        <w:rPr>
          <w:lang w:val="en-GB"/>
        </w:rPr>
      </w:pPr>
    </w:p>
    <w:p w14:paraId="15A46864" w14:textId="77777777" w:rsidR="00190D7D" w:rsidRPr="00190D7D" w:rsidRDefault="00190D7D" w:rsidP="00190D7D">
      <w:pPr>
        <w:pStyle w:val="Text"/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4276"/>
      </w:tblGrid>
      <w:tr w:rsidR="00811D62" w:rsidRPr="00322F60" w14:paraId="1C0DB4BC" w14:textId="77777777" w:rsidTr="001131C2">
        <w:tc>
          <w:tcPr>
            <w:tcW w:w="4275" w:type="dxa"/>
          </w:tcPr>
          <w:p w14:paraId="5F45861D" w14:textId="77777777" w:rsidR="00811D62" w:rsidRPr="00322F60" w:rsidRDefault="00B2760A" w:rsidP="00666660">
            <w:pPr>
              <w:pStyle w:val="Text"/>
              <w:ind w:firstLine="0"/>
              <w:rPr>
                <w:lang w:val="en-GB"/>
              </w:rPr>
            </w:pPr>
            <w:r w:rsidRPr="00322F60">
              <w:rPr>
                <w:noProof/>
                <w:lang w:eastAsia="cs-CZ"/>
              </w:rPr>
              <w:drawing>
                <wp:inline distT="0" distB="0" distL="0" distR="0" wp14:anchorId="59D98F9D" wp14:editId="0A676E07">
                  <wp:extent cx="2442924" cy="2018030"/>
                  <wp:effectExtent l="0" t="0" r="0" b="127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6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2" t="9213" r="11333"/>
                          <a:stretch/>
                        </pic:blipFill>
                        <pic:spPr bwMode="auto">
                          <a:xfrm>
                            <a:off x="0" y="0"/>
                            <a:ext cx="2443845" cy="2018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6" w:type="dxa"/>
          </w:tcPr>
          <w:p w14:paraId="0936F2CF" w14:textId="77777777" w:rsidR="00811D62" w:rsidRPr="00322F60" w:rsidRDefault="00B2760A" w:rsidP="00666660">
            <w:pPr>
              <w:pStyle w:val="Text"/>
              <w:ind w:firstLine="0"/>
              <w:rPr>
                <w:lang w:val="en-GB"/>
              </w:rPr>
            </w:pPr>
            <w:r w:rsidRPr="00322F60">
              <w:rPr>
                <w:noProof/>
                <w:lang w:eastAsia="cs-CZ"/>
              </w:rPr>
              <w:drawing>
                <wp:inline distT="0" distB="0" distL="0" distR="0" wp14:anchorId="3CF4BCEA" wp14:editId="14002398">
                  <wp:extent cx="2457137" cy="2025015"/>
                  <wp:effectExtent l="0" t="0" r="635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5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7" t="8884" r="11079"/>
                          <a:stretch/>
                        </pic:blipFill>
                        <pic:spPr bwMode="auto">
                          <a:xfrm>
                            <a:off x="0" y="0"/>
                            <a:ext cx="2458463" cy="2026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DB595A" w14:textId="77777777" w:rsidR="00666660" w:rsidRDefault="005169F3" w:rsidP="00666660">
      <w:pPr>
        <w:pStyle w:val="Text"/>
        <w:rPr>
          <w:lang w:val="en-GB"/>
        </w:rPr>
      </w:pPr>
      <w:r>
        <w:rPr>
          <w:lang w:val="en-GB"/>
        </w:rPr>
        <w:t xml:space="preserve">Figure </w:t>
      </w:r>
      <w:r w:rsidR="00460AC9">
        <w:rPr>
          <w:lang w:val="en-GB"/>
        </w:rPr>
        <w:t>2</w:t>
      </w:r>
      <w:r w:rsidR="001131C2" w:rsidRPr="00322F60">
        <w:rPr>
          <w:lang w:val="en-GB"/>
        </w:rPr>
        <w:t xml:space="preserve">. </w:t>
      </w:r>
      <w:r w:rsidR="006B10A5" w:rsidRPr="00322F60">
        <w:rPr>
          <w:lang w:val="en-GB"/>
        </w:rPr>
        <w:t xml:space="preserve">Anisotropy constant </w:t>
      </w:r>
      <w:r w:rsidR="006B10A5" w:rsidRPr="00322F60">
        <w:rPr>
          <w:i/>
          <w:iCs/>
          <w:lang w:val="en-GB"/>
        </w:rPr>
        <w:t>K</w:t>
      </w:r>
      <w:r w:rsidR="006B10A5" w:rsidRPr="00322F60">
        <w:rPr>
          <w:vertAlign w:val="subscript"/>
          <w:lang w:val="en-GB"/>
        </w:rPr>
        <w:t>1</w:t>
      </w:r>
      <w:r w:rsidR="006B10A5" w:rsidRPr="00322F60">
        <w:rPr>
          <w:lang w:val="en-GB"/>
        </w:rPr>
        <w:t xml:space="preserve"> at temperature </w:t>
      </w:r>
      <w:r w:rsidR="006B10A5" w:rsidRPr="00322F60">
        <w:rPr>
          <w:i/>
          <w:iCs/>
          <w:lang w:val="en-GB"/>
        </w:rPr>
        <w:t>T</w:t>
      </w:r>
      <w:r w:rsidR="006B10A5" w:rsidRPr="00322F60">
        <w:rPr>
          <w:lang w:val="en-GB"/>
        </w:rPr>
        <w:t xml:space="preserve"> = 10 K as a function of (a) valence electron concentration </w:t>
      </w:r>
      <w:r w:rsidR="006B10A5" w:rsidRPr="00322F60">
        <w:rPr>
          <w:i/>
          <w:iCs/>
          <w:lang w:val="en-GB"/>
        </w:rPr>
        <w:t>e</w:t>
      </w:r>
      <w:r w:rsidR="006B10A5" w:rsidRPr="00322F60">
        <w:rPr>
          <w:lang w:val="en-GB"/>
        </w:rPr>
        <w:t>/</w:t>
      </w:r>
      <w:r w:rsidR="006B10A5" w:rsidRPr="00322F60">
        <w:rPr>
          <w:i/>
          <w:iCs/>
          <w:lang w:val="en-GB"/>
        </w:rPr>
        <w:t>a</w:t>
      </w:r>
      <w:r w:rsidR="006B10A5" w:rsidRPr="00322F60">
        <w:rPr>
          <w:lang w:val="en-GB"/>
        </w:rPr>
        <w:t xml:space="preserve">, (b) tetragonality ratio </w:t>
      </w:r>
      <w:r w:rsidR="006B10A5" w:rsidRPr="00322F60">
        <w:rPr>
          <w:i/>
          <w:iCs/>
          <w:lang w:val="en-GB"/>
        </w:rPr>
        <w:t>c</w:t>
      </w:r>
      <w:r w:rsidR="006B10A5" w:rsidRPr="00322F60">
        <w:rPr>
          <w:lang w:val="en-GB"/>
        </w:rPr>
        <w:t>/</w:t>
      </w:r>
      <w:r w:rsidR="006B10A5" w:rsidRPr="00322F60">
        <w:rPr>
          <w:i/>
          <w:iCs/>
          <w:lang w:val="en-GB"/>
        </w:rPr>
        <w:t>a</w:t>
      </w:r>
      <w:r w:rsidR="006B10A5" w:rsidRPr="00322F60">
        <w:rPr>
          <w:lang w:val="en-GB"/>
        </w:rPr>
        <w:t>.</w:t>
      </w:r>
    </w:p>
    <w:p w14:paraId="7DFFAF5A" w14:textId="77777777" w:rsidR="005169F3" w:rsidRDefault="005169F3" w:rsidP="00666660">
      <w:pPr>
        <w:pStyle w:val="Text"/>
        <w:rPr>
          <w:lang w:val="en-GB"/>
        </w:rPr>
      </w:pPr>
    </w:p>
    <w:p w14:paraId="54F711D8" w14:textId="77777777" w:rsidR="001E67A7" w:rsidRDefault="001E67A7" w:rsidP="001E67A7">
      <w:pPr>
        <w:pStyle w:val="Text"/>
        <w:jc w:val="center"/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646235BD" wp14:editId="26B4845B">
            <wp:extent cx="4320000" cy="3079920"/>
            <wp:effectExtent l="19050" t="0" r="4350" b="0"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07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7478F1" w14:textId="77777777" w:rsidR="001E67A7" w:rsidRDefault="001E67A7" w:rsidP="00666660">
      <w:pPr>
        <w:pStyle w:val="Text"/>
        <w:rPr>
          <w:lang w:val="en-GB"/>
        </w:rPr>
      </w:pPr>
      <w:r>
        <w:rPr>
          <w:lang w:val="en-GB"/>
        </w:rPr>
        <w:t xml:space="preserve">Figure </w:t>
      </w:r>
      <w:r w:rsidR="00AD57B6">
        <w:rPr>
          <w:lang w:val="en-GB"/>
        </w:rPr>
        <w:t>3</w:t>
      </w:r>
      <w:r>
        <w:rPr>
          <w:lang w:val="en-GB"/>
        </w:rPr>
        <w:t xml:space="preserve">. Comparison of experimental </w:t>
      </w:r>
      <w:r w:rsidR="009341FF">
        <w:rPr>
          <w:lang w:val="en-GB"/>
        </w:rPr>
        <w:t xml:space="preserve">(black open circles) </w:t>
      </w:r>
      <w:r>
        <w:rPr>
          <w:lang w:val="en-GB"/>
        </w:rPr>
        <w:t xml:space="preserve">and calculated </w:t>
      </w:r>
      <w:r w:rsidR="009341FF">
        <w:rPr>
          <w:lang w:val="en-GB"/>
        </w:rPr>
        <w:t xml:space="preserve">(black solid circles) </w:t>
      </w:r>
      <w:r>
        <w:rPr>
          <w:lang w:val="en-GB"/>
        </w:rPr>
        <w:t xml:space="preserve">anisotropy constant </w:t>
      </w:r>
      <w:r w:rsidRPr="001E67A7">
        <w:rPr>
          <w:i/>
          <w:lang w:val="en-GB"/>
        </w:rPr>
        <w:t>K</w:t>
      </w:r>
      <w:r w:rsidRPr="001E67A7">
        <w:rPr>
          <w:vertAlign w:val="subscript"/>
          <w:lang w:val="en-GB"/>
        </w:rPr>
        <w:t>1</w:t>
      </w:r>
      <w:r>
        <w:rPr>
          <w:lang w:val="en-GB"/>
        </w:rPr>
        <w:t xml:space="preserve"> [</w:t>
      </w:r>
      <w:r w:rsidR="008C766D">
        <w:rPr>
          <w:lang w:val="en-GB"/>
        </w:rPr>
        <w:t>4</w:t>
      </w:r>
      <w:r>
        <w:rPr>
          <w:lang w:val="en-GB"/>
        </w:rPr>
        <w:t>].</w:t>
      </w:r>
      <w:r w:rsidR="009341FF">
        <w:rPr>
          <w:lang w:val="en-GB"/>
        </w:rPr>
        <w:t xml:space="preserve"> Lines connecting the symbols serve only as a guide for the eye.</w:t>
      </w:r>
      <w:r w:rsidR="005E13B4">
        <w:rPr>
          <w:lang w:val="en-GB"/>
        </w:rPr>
        <w:t xml:space="preserve"> </w:t>
      </w:r>
    </w:p>
    <w:p w14:paraId="0050777E" w14:textId="77777777" w:rsidR="001E67A7" w:rsidRDefault="001E67A7" w:rsidP="00666660">
      <w:pPr>
        <w:pStyle w:val="Text"/>
        <w:rPr>
          <w:lang w:val="en-GB"/>
        </w:rPr>
      </w:pPr>
    </w:p>
    <w:p w14:paraId="2A04CA42" w14:textId="56FEF4C7" w:rsidR="00B6131E" w:rsidRDefault="0096127C" w:rsidP="00666660">
      <w:pPr>
        <w:pStyle w:val="Text"/>
        <w:rPr>
          <w:lang w:val="en-GB"/>
        </w:rPr>
      </w:pPr>
      <w:r>
        <w:rPr>
          <w:lang w:val="en-GB"/>
        </w:rPr>
        <w:t>Finally, we compared the e</w:t>
      </w:r>
      <w:r w:rsidR="001E67A7">
        <w:rPr>
          <w:lang w:val="en-GB"/>
        </w:rPr>
        <w:t>xperimental</w:t>
      </w:r>
      <w:r>
        <w:rPr>
          <w:lang w:val="en-GB"/>
        </w:rPr>
        <w:t>ly determined</w:t>
      </w:r>
      <w:r w:rsidR="001E67A7">
        <w:rPr>
          <w:lang w:val="en-GB"/>
        </w:rPr>
        <w:t xml:space="preserve"> values of </w:t>
      </w:r>
      <w:r w:rsidR="001E67A7" w:rsidRPr="001E67A7">
        <w:rPr>
          <w:i/>
          <w:lang w:val="en-GB"/>
        </w:rPr>
        <w:t>K</w:t>
      </w:r>
      <w:r w:rsidR="001E67A7" w:rsidRPr="001E67A7">
        <w:rPr>
          <w:vertAlign w:val="subscript"/>
          <w:lang w:val="en-GB"/>
        </w:rPr>
        <w:t>1</w:t>
      </w:r>
      <w:r w:rsidR="001E67A7">
        <w:rPr>
          <w:lang w:val="en-GB"/>
        </w:rPr>
        <w:t xml:space="preserve"> with </w:t>
      </w:r>
      <w:r w:rsidR="005E13B4" w:rsidRPr="005E13B4">
        <w:rPr>
          <w:lang w:val="en-GB"/>
        </w:rPr>
        <w:t>the one</w:t>
      </w:r>
      <w:r w:rsidR="005E13B4">
        <w:rPr>
          <w:i/>
          <w:lang w:val="en-GB"/>
        </w:rPr>
        <w:t xml:space="preserve"> </w:t>
      </w:r>
      <w:r w:rsidR="001E67A7">
        <w:rPr>
          <w:lang w:val="en-GB"/>
        </w:rPr>
        <w:t>calculated from the first principles [</w:t>
      </w:r>
      <w:r w:rsidR="008C766D">
        <w:rPr>
          <w:lang w:val="en-GB"/>
        </w:rPr>
        <w:t>4</w:t>
      </w:r>
      <w:r w:rsidR="001E67A7">
        <w:rPr>
          <w:lang w:val="en-GB"/>
        </w:rPr>
        <w:t xml:space="preserve">]. </w:t>
      </w:r>
      <w:r>
        <w:rPr>
          <w:lang w:val="en-GB"/>
        </w:rPr>
        <w:t>F</w:t>
      </w:r>
      <w:r w:rsidR="009341FF">
        <w:rPr>
          <w:lang w:val="en-GB"/>
        </w:rPr>
        <w:t xml:space="preserve">igure </w:t>
      </w:r>
      <w:r w:rsidR="00AD57B6">
        <w:rPr>
          <w:lang w:val="en-GB"/>
        </w:rPr>
        <w:t>3</w:t>
      </w:r>
      <w:r w:rsidR="009341FF">
        <w:rPr>
          <w:lang w:val="en-GB"/>
        </w:rPr>
        <w:t xml:space="preserve"> </w:t>
      </w:r>
      <w:r>
        <w:rPr>
          <w:lang w:val="en-GB"/>
        </w:rPr>
        <w:t>shows</w:t>
      </w:r>
      <w:r w:rsidR="009341FF">
        <w:rPr>
          <w:lang w:val="en-GB"/>
        </w:rPr>
        <w:t xml:space="preserve"> both experimental and calculated anisotropy constant</w:t>
      </w:r>
      <w:r>
        <w:rPr>
          <w:lang w:val="en-GB"/>
        </w:rPr>
        <w:t>s</w:t>
      </w:r>
      <w:r w:rsidR="009341FF">
        <w:rPr>
          <w:lang w:val="en-GB"/>
        </w:rPr>
        <w:t xml:space="preserve"> </w:t>
      </w:r>
      <w:r w:rsidR="00741D99">
        <w:rPr>
          <w:lang w:val="en-GB"/>
        </w:rPr>
        <w:t>-</w:t>
      </w:r>
      <w:r w:rsidR="009341FF" w:rsidRPr="009341FF">
        <w:rPr>
          <w:i/>
          <w:lang w:val="en-GB"/>
        </w:rPr>
        <w:t>K</w:t>
      </w:r>
      <w:r w:rsidR="009341FF" w:rsidRPr="009341FF">
        <w:rPr>
          <w:vertAlign w:val="subscript"/>
          <w:lang w:val="en-GB"/>
        </w:rPr>
        <w:t>1</w:t>
      </w:r>
      <w:r w:rsidR="009341FF">
        <w:rPr>
          <w:lang w:val="en-GB"/>
        </w:rPr>
        <w:t xml:space="preserve"> </w:t>
      </w:r>
      <w:r w:rsidR="008C766D">
        <w:rPr>
          <w:lang w:val="en-GB"/>
        </w:rPr>
        <w:t xml:space="preserve">of doped alloys </w:t>
      </w:r>
      <w:r w:rsidR="009341FF">
        <w:rPr>
          <w:lang w:val="en-GB"/>
        </w:rPr>
        <w:t xml:space="preserve">as a function of </w:t>
      </w:r>
      <w:r>
        <w:rPr>
          <w:lang w:val="en-GB"/>
        </w:rPr>
        <w:t xml:space="preserve">averaged </w:t>
      </w:r>
      <w:r w:rsidR="009341FF">
        <w:rPr>
          <w:lang w:val="en-GB"/>
        </w:rPr>
        <w:t>dopant concentration of cobalt and copper</w:t>
      </w:r>
      <w:r>
        <w:rPr>
          <w:lang w:val="en-GB"/>
        </w:rPr>
        <w:t xml:space="preserve"> (</w:t>
      </w:r>
      <w:proofErr w:type="spellStart"/>
      <w:r>
        <w:rPr>
          <w:lang w:val="en-GB"/>
        </w:rPr>
        <w:t>Co+Cu</w:t>
      </w:r>
      <w:proofErr w:type="spellEnd"/>
      <w:r>
        <w:rPr>
          <w:lang w:val="en-GB"/>
        </w:rPr>
        <w:t>)/2</w:t>
      </w:r>
      <w:r w:rsidR="009341FF">
        <w:rPr>
          <w:lang w:val="en-GB"/>
        </w:rPr>
        <w:t xml:space="preserve">. </w:t>
      </w:r>
      <w:r w:rsidR="00AF5E3C">
        <w:rPr>
          <w:lang w:val="en-GB"/>
        </w:rPr>
        <w:t>As there is no NM structure at stoichiometric Ni</w:t>
      </w:r>
      <w:r w:rsidR="00AF5E3C" w:rsidRPr="00AF5E3C">
        <w:rPr>
          <w:vertAlign w:val="subscript"/>
          <w:lang w:val="en-GB"/>
        </w:rPr>
        <w:t>2</w:t>
      </w:r>
      <w:r w:rsidR="00AF5E3C">
        <w:rPr>
          <w:lang w:val="en-GB"/>
        </w:rPr>
        <w:t xml:space="preserve">MnGa we also listed the anisotropy of NM for Mn excess composition (Table 1). </w:t>
      </w:r>
      <w:r w:rsidR="00731DD9">
        <w:rPr>
          <w:lang w:val="en-GB"/>
        </w:rPr>
        <w:t>The measured anisotropy constant -</w:t>
      </w:r>
      <w:r w:rsidR="00731DD9" w:rsidRPr="009341FF">
        <w:rPr>
          <w:i/>
          <w:lang w:val="en-GB"/>
        </w:rPr>
        <w:t>K</w:t>
      </w:r>
      <w:r w:rsidR="00731DD9" w:rsidRPr="009341FF">
        <w:rPr>
          <w:vertAlign w:val="subscript"/>
          <w:lang w:val="en-GB"/>
        </w:rPr>
        <w:t>1</w:t>
      </w:r>
      <w:r w:rsidR="00731DD9">
        <w:rPr>
          <w:lang w:val="en-GB"/>
        </w:rPr>
        <w:t xml:space="preserve"> decreases with increasing dopant concentration in agreement with th</w:t>
      </w:r>
      <w:r w:rsidR="00AF5E3C">
        <w:rPr>
          <w:lang w:val="en-GB"/>
        </w:rPr>
        <w:t xml:space="preserve">e </w:t>
      </w:r>
      <w:r w:rsidR="00AF5E3C" w:rsidRPr="00AF5E3C">
        <w:rPr>
          <w:i/>
          <w:iCs/>
          <w:lang w:val="en-GB"/>
        </w:rPr>
        <w:t>ab-initio</w:t>
      </w:r>
      <w:r w:rsidR="00AF5E3C">
        <w:rPr>
          <w:lang w:val="en-GB"/>
        </w:rPr>
        <w:t xml:space="preserve"> c</w:t>
      </w:r>
      <w:r w:rsidR="009341FF">
        <w:rPr>
          <w:lang w:val="en-GB"/>
        </w:rPr>
        <w:t>alculations [</w:t>
      </w:r>
      <w:r w:rsidR="008C766D">
        <w:rPr>
          <w:lang w:val="en-GB"/>
        </w:rPr>
        <w:t>4</w:t>
      </w:r>
      <w:r w:rsidR="009341FF">
        <w:rPr>
          <w:lang w:val="en-GB"/>
        </w:rPr>
        <w:t xml:space="preserve">]. </w:t>
      </w:r>
      <w:r w:rsidR="00741D99">
        <w:rPr>
          <w:lang w:val="en-GB"/>
        </w:rPr>
        <w:t xml:space="preserve">From calculations also follows that </w:t>
      </w:r>
      <w:r w:rsidR="00B860E8">
        <w:rPr>
          <w:lang w:val="en-GB"/>
        </w:rPr>
        <w:t xml:space="preserve">the </w:t>
      </w:r>
      <w:r w:rsidR="00741D99">
        <w:rPr>
          <w:lang w:val="en-GB"/>
        </w:rPr>
        <w:t>easy plane (</w:t>
      </w:r>
      <w:r w:rsidR="00741D99" w:rsidRPr="00741D99">
        <w:rPr>
          <w:i/>
          <w:lang w:val="en-GB"/>
        </w:rPr>
        <w:t>K</w:t>
      </w:r>
      <w:r w:rsidR="00741D99" w:rsidRPr="00741D99">
        <w:rPr>
          <w:vertAlign w:val="subscript"/>
          <w:lang w:val="en-GB"/>
        </w:rPr>
        <w:t>1</w:t>
      </w:r>
      <w:r w:rsidR="00741D99">
        <w:rPr>
          <w:lang w:val="en-GB"/>
        </w:rPr>
        <w:t xml:space="preserve"> &lt; 0) </w:t>
      </w:r>
      <w:r w:rsidR="00B860E8">
        <w:rPr>
          <w:lang w:val="en-GB"/>
        </w:rPr>
        <w:t xml:space="preserve">anisotropy </w:t>
      </w:r>
      <w:r w:rsidR="00EF50B3">
        <w:rPr>
          <w:lang w:val="en-GB"/>
        </w:rPr>
        <w:t xml:space="preserve">should </w:t>
      </w:r>
      <w:r w:rsidR="00B860E8">
        <w:rPr>
          <w:lang w:val="en-GB"/>
        </w:rPr>
        <w:t xml:space="preserve">change to </w:t>
      </w:r>
      <w:r w:rsidR="00741D99">
        <w:rPr>
          <w:lang w:val="en-GB"/>
        </w:rPr>
        <w:t>easy axis (</w:t>
      </w:r>
      <w:r w:rsidR="00741D99" w:rsidRPr="00741D99">
        <w:rPr>
          <w:i/>
          <w:lang w:val="en-GB"/>
        </w:rPr>
        <w:t>K</w:t>
      </w:r>
      <w:r w:rsidR="00741D99" w:rsidRPr="00741D99">
        <w:rPr>
          <w:vertAlign w:val="subscript"/>
          <w:lang w:val="en-GB"/>
        </w:rPr>
        <w:t>1</w:t>
      </w:r>
      <w:r w:rsidR="00741D99">
        <w:rPr>
          <w:lang w:val="en-GB"/>
        </w:rPr>
        <w:t xml:space="preserve"> &gt; 0) </w:t>
      </w:r>
      <w:r w:rsidR="00B860E8">
        <w:rPr>
          <w:lang w:val="en-GB"/>
        </w:rPr>
        <w:t>with higher doping</w:t>
      </w:r>
      <w:r w:rsidR="00741D99">
        <w:rPr>
          <w:lang w:val="en-GB"/>
        </w:rPr>
        <w:t>. Our experiments, however, confirmed only easy plane in our Ni-Mn-Ga-Co-Cu martensites.</w:t>
      </w:r>
      <w:r w:rsidR="00AF5E3C">
        <w:rPr>
          <w:lang w:val="en-GB"/>
        </w:rPr>
        <w:t xml:space="preserve"> Moreover, the </w:t>
      </w:r>
      <w:r w:rsidR="00EF50B3">
        <w:rPr>
          <w:lang w:val="en-GB"/>
        </w:rPr>
        <w:t>calculated</w:t>
      </w:r>
      <w:r w:rsidR="00AF5E3C">
        <w:rPr>
          <w:lang w:val="en-GB"/>
        </w:rPr>
        <w:t xml:space="preserve"> magnitude of the anisotropy is smaller than measured. The knowledge of the anisotropy helps to predict the </w:t>
      </w:r>
      <w:r w:rsidR="00B6131E">
        <w:rPr>
          <w:lang w:val="en-GB"/>
        </w:rPr>
        <w:t xml:space="preserve">temperature and composition range where magnetically induced reorientation in Ni-Mn-Ga-Co-Cu alloys </w:t>
      </w:r>
      <w:r w:rsidR="00AF5E3C">
        <w:rPr>
          <w:lang w:val="en-GB"/>
        </w:rPr>
        <w:t xml:space="preserve">can </w:t>
      </w:r>
      <w:r w:rsidR="00B6131E">
        <w:rPr>
          <w:lang w:val="en-GB"/>
        </w:rPr>
        <w:t>occur [</w:t>
      </w:r>
      <w:r w:rsidR="008C766D">
        <w:rPr>
          <w:lang w:val="en-GB"/>
        </w:rPr>
        <w:t>8</w:t>
      </w:r>
      <w:r w:rsidR="00B6131E">
        <w:rPr>
          <w:lang w:val="en-GB"/>
        </w:rPr>
        <w:t>].</w:t>
      </w:r>
    </w:p>
    <w:p w14:paraId="14D00346" w14:textId="77777777" w:rsidR="00CB4BB2" w:rsidRPr="00322F60" w:rsidRDefault="00741D99" w:rsidP="0008064B">
      <w:pPr>
        <w:pStyle w:val="Heading2"/>
        <w:rPr>
          <w:lang w:val="en-GB"/>
        </w:rPr>
      </w:pPr>
      <w:r>
        <w:rPr>
          <w:lang w:val="en-GB"/>
        </w:rPr>
        <w:t>Conclusion</w:t>
      </w:r>
      <w:bookmarkStart w:id="1" w:name="_GoBack"/>
      <w:bookmarkEnd w:id="1"/>
    </w:p>
    <w:p w14:paraId="0B1A4643" w14:textId="77777777" w:rsidR="00CB4BB2" w:rsidRDefault="00741D99" w:rsidP="0066277B">
      <w:pPr>
        <w:pStyle w:val="Text-1odstavec"/>
        <w:rPr>
          <w:lang w:val="en-GB"/>
        </w:rPr>
      </w:pPr>
      <w:r>
        <w:rPr>
          <w:lang w:val="en-GB"/>
        </w:rPr>
        <w:t xml:space="preserve">We investigated magnetocrystalline anisotropy of non-modulated tetragonal Ni-Mn-Ga-Co-Cu martensites as </w:t>
      </w:r>
      <w:r w:rsidR="00B6131E">
        <w:rPr>
          <w:lang w:val="en-GB"/>
        </w:rPr>
        <w:t xml:space="preserve">a function of composition and temperature. We found that the anisotropy has </w:t>
      </w:r>
      <w:r w:rsidR="009F320B">
        <w:rPr>
          <w:lang w:val="en-GB"/>
        </w:rPr>
        <w:t xml:space="preserve">the </w:t>
      </w:r>
      <w:r w:rsidR="00B6131E">
        <w:rPr>
          <w:lang w:val="en-GB"/>
        </w:rPr>
        <w:t xml:space="preserve">single-ion origin. Anisotropy constant </w:t>
      </w:r>
      <w:r w:rsidR="00B6131E" w:rsidRPr="00B6131E">
        <w:rPr>
          <w:i/>
          <w:lang w:val="en-GB"/>
        </w:rPr>
        <w:t>K</w:t>
      </w:r>
      <w:r w:rsidR="00B6131E" w:rsidRPr="00B6131E">
        <w:rPr>
          <w:vertAlign w:val="subscript"/>
          <w:lang w:val="en-GB"/>
        </w:rPr>
        <w:t>1</w:t>
      </w:r>
      <w:r w:rsidR="00B6131E">
        <w:rPr>
          <w:lang w:val="en-GB"/>
        </w:rPr>
        <w:t xml:space="preserve"> as a function of valence electron concentration </w:t>
      </w:r>
      <w:r w:rsidR="00B6131E" w:rsidRPr="00B6131E">
        <w:rPr>
          <w:i/>
          <w:lang w:val="en-GB"/>
        </w:rPr>
        <w:t>e</w:t>
      </w:r>
      <w:r w:rsidR="00B6131E">
        <w:rPr>
          <w:lang w:val="en-GB"/>
        </w:rPr>
        <w:t>/</w:t>
      </w:r>
      <w:r w:rsidR="00B6131E" w:rsidRPr="00B6131E">
        <w:rPr>
          <w:i/>
          <w:lang w:val="en-GB"/>
        </w:rPr>
        <w:t>a</w:t>
      </w:r>
      <w:r w:rsidR="00B6131E">
        <w:rPr>
          <w:lang w:val="en-GB"/>
        </w:rPr>
        <w:t xml:space="preserve"> or of tetragonality ratio </w:t>
      </w:r>
      <w:r w:rsidR="00B6131E" w:rsidRPr="00B6131E">
        <w:rPr>
          <w:i/>
          <w:lang w:val="en-GB"/>
        </w:rPr>
        <w:t>c</w:t>
      </w:r>
      <w:r w:rsidR="00B6131E">
        <w:rPr>
          <w:lang w:val="en-GB"/>
        </w:rPr>
        <w:t>/</w:t>
      </w:r>
      <w:r w:rsidR="00B6131E" w:rsidRPr="00B6131E">
        <w:rPr>
          <w:i/>
          <w:lang w:val="en-GB"/>
        </w:rPr>
        <w:t>a</w:t>
      </w:r>
      <w:r w:rsidR="00B6131E">
        <w:rPr>
          <w:lang w:val="en-GB"/>
        </w:rPr>
        <w:t xml:space="preserve"> exhibit</w:t>
      </w:r>
      <w:r w:rsidR="005E13B4">
        <w:rPr>
          <w:lang w:val="en-GB"/>
        </w:rPr>
        <w:t>ed</w:t>
      </w:r>
      <w:r w:rsidR="00B6131E">
        <w:rPr>
          <w:lang w:val="en-GB"/>
        </w:rPr>
        <w:t xml:space="preserve"> no clear trends. </w:t>
      </w:r>
      <w:r w:rsidR="00B860E8">
        <w:rPr>
          <w:lang w:val="en-GB"/>
        </w:rPr>
        <w:t>In agreement with theoretical calculation the easy plane anisotropy decrease</w:t>
      </w:r>
      <w:r w:rsidR="005E13B4">
        <w:rPr>
          <w:lang w:val="en-GB"/>
        </w:rPr>
        <w:t>d</w:t>
      </w:r>
      <w:r w:rsidR="00B860E8">
        <w:rPr>
          <w:lang w:val="en-GB"/>
        </w:rPr>
        <w:t xml:space="preserve"> with increasing average doping but in contrast to calculation the measured anisotropy </w:t>
      </w:r>
      <w:r w:rsidR="005E13B4">
        <w:rPr>
          <w:lang w:val="en-GB"/>
        </w:rPr>
        <w:t>was</w:t>
      </w:r>
      <w:r w:rsidR="00B860E8">
        <w:rPr>
          <w:lang w:val="en-GB"/>
        </w:rPr>
        <w:t xml:space="preserve"> larger and no predicted change to uniaxial anisotropy with easy axis </w:t>
      </w:r>
      <w:r w:rsidR="005E13B4">
        <w:rPr>
          <w:lang w:val="en-GB"/>
        </w:rPr>
        <w:t>was detected</w:t>
      </w:r>
      <w:r w:rsidR="00B860E8">
        <w:rPr>
          <w:lang w:val="en-GB"/>
        </w:rPr>
        <w:t>.</w:t>
      </w:r>
    </w:p>
    <w:p w14:paraId="0A0623CD" w14:textId="77777777" w:rsidR="00B860E8" w:rsidRDefault="00B860E8" w:rsidP="00B860E8">
      <w:pPr>
        <w:pStyle w:val="Text"/>
        <w:rPr>
          <w:lang w:val="en-GB"/>
        </w:rPr>
      </w:pPr>
    </w:p>
    <w:p w14:paraId="28983070" w14:textId="7E5E99F8" w:rsidR="00B860E8" w:rsidRPr="00322F60" w:rsidRDefault="00AD57B6" w:rsidP="00AD57B6">
      <w:pPr>
        <w:pStyle w:val="Podkovn"/>
        <w:jc w:val="left"/>
        <w:rPr>
          <w:lang w:val="en-GB"/>
        </w:rPr>
      </w:pPr>
      <w:r w:rsidRPr="00AD57B6">
        <w:rPr>
          <w:lang w:val="en-GB"/>
        </w:rPr>
        <w:t>This work was supported by the Czech Science Foundation, grant no. 21-06613S</w:t>
      </w:r>
      <w:r>
        <w:rPr>
          <w:lang w:val="en-GB"/>
        </w:rPr>
        <w:t>. Magnetic measurements were supported by MGML (mgml.eu) within the program of Czech Research Infrastructures (project No. LM2018096)</w:t>
      </w:r>
      <w:r w:rsidR="00993CEC">
        <w:rPr>
          <w:lang w:val="en-GB"/>
        </w:rPr>
        <w:t>.</w:t>
      </w:r>
    </w:p>
    <w:p w14:paraId="7186FEAB" w14:textId="77777777" w:rsidR="00B860E8" w:rsidRPr="00B860E8" w:rsidRDefault="00B860E8" w:rsidP="00B860E8">
      <w:pPr>
        <w:pStyle w:val="Text"/>
        <w:rPr>
          <w:lang w:val="en-GB"/>
        </w:rPr>
      </w:pPr>
    </w:p>
    <w:p w14:paraId="62E4D8FC" w14:textId="77777777" w:rsidR="00960694" w:rsidRPr="008C766D" w:rsidRDefault="00CB4BB2" w:rsidP="0008064B">
      <w:pPr>
        <w:pStyle w:val="Heading2"/>
        <w:rPr>
          <w:lang w:val="en-GB"/>
        </w:rPr>
      </w:pPr>
      <w:r w:rsidRPr="008C766D">
        <w:rPr>
          <w:lang w:val="en-GB"/>
        </w:rPr>
        <w:t>Reference</w:t>
      </w:r>
      <w:r w:rsidR="00741D99" w:rsidRPr="008C766D">
        <w:rPr>
          <w:lang w:val="en-GB"/>
        </w:rPr>
        <w:t>s</w:t>
      </w:r>
    </w:p>
    <w:p w14:paraId="006526EC" w14:textId="77777777" w:rsidR="00E049E7" w:rsidRPr="003F762E" w:rsidRDefault="003F762E" w:rsidP="004C1145">
      <w:pPr>
        <w:pStyle w:val="Reference"/>
        <w:rPr>
          <w:lang w:val="en-GB"/>
        </w:rPr>
      </w:pPr>
      <w:r w:rsidRPr="003F762E">
        <w:t>O. Heczk</w:t>
      </w:r>
      <w:r>
        <w:t xml:space="preserve">o, N. </w:t>
      </w:r>
      <w:proofErr w:type="spellStart"/>
      <w:r>
        <w:t>Scheerbaum</w:t>
      </w:r>
      <w:proofErr w:type="spellEnd"/>
      <w:r>
        <w:t xml:space="preserve">, O. </w:t>
      </w:r>
      <w:proofErr w:type="spellStart"/>
      <w:r>
        <w:t>Gutfleisch</w:t>
      </w:r>
      <w:proofErr w:type="spellEnd"/>
      <w:r>
        <w:t>.</w:t>
      </w:r>
      <w:r w:rsidRPr="003F762E">
        <w:t xml:space="preserve"> </w:t>
      </w:r>
      <w:proofErr w:type="spellStart"/>
      <w:r w:rsidRPr="003F762E">
        <w:t>Magnetic</w:t>
      </w:r>
      <w:proofErr w:type="spellEnd"/>
      <w:r w:rsidRPr="003F762E">
        <w:t xml:space="preserve"> </w:t>
      </w:r>
      <w:proofErr w:type="spellStart"/>
      <w:r w:rsidRPr="003F762E">
        <w:t>shape</w:t>
      </w:r>
      <w:proofErr w:type="spellEnd"/>
      <w:r w:rsidRPr="003F762E">
        <w:t xml:space="preserve"> </w:t>
      </w:r>
      <w:proofErr w:type="spellStart"/>
      <w:r w:rsidRPr="003F762E">
        <w:t>memory</w:t>
      </w:r>
      <w:proofErr w:type="spellEnd"/>
      <w:r w:rsidRPr="003F762E">
        <w:t xml:space="preserve"> </w:t>
      </w:r>
      <w:proofErr w:type="spellStart"/>
      <w:r w:rsidRPr="003F762E">
        <w:t>phenomena</w:t>
      </w:r>
      <w:proofErr w:type="spellEnd"/>
      <w:r w:rsidRPr="003F762E">
        <w:t xml:space="preserve">. </w:t>
      </w:r>
      <w:r w:rsidRPr="003F762E">
        <w:br/>
        <w:t xml:space="preserve">In: J. P. </w:t>
      </w:r>
      <w:proofErr w:type="spellStart"/>
      <w:r w:rsidRPr="003F762E">
        <w:t>Liu</w:t>
      </w:r>
      <w:proofErr w:type="spellEnd"/>
      <w:r w:rsidRPr="003F762E">
        <w:t xml:space="preserve">, E. </w:t>
      </w:r>
      <w:proofErr w:type="spellStart"/>
      <w:r w:rsidRPr="003F762E">
        <w:t>Fullerton</w:t>
      </w:r>
      <w:proofErr w:type="spellEnd"/>
      <w:r w:rsidRPr="003F762E">
        <w:t xml:space="preserve">, O. </w:t>
      </w:r>
      <w:proofErr w:type="spellStart"/>
      <w:r w:rsidRPr="003F762E">
        <w:t>Gutfleisch</w:t>
      </w:r>
      <w:proofErr w:type="spellEnd"/>
      <w:r w:rsidRPr="003F762E">
        <w:t xml:space="preserve">, D. J. </w:t>
      </w:r>
      <w:proofErr w:type="spellStart"/>
      <w:r w:rsidRPr="003F762E">
        <w:t>Sellmyer</w:t>
      </w:r>
      <w:proofErr w:type="spellEnd"/>
      <w:r w:rsidRPr="003F762E">
        <w:t xml:space="preserve"> (</w:t>
      </w:r>
      <w:proofErr w:type="spellStart"/>
      <w:r w:rsidRPr="003F762E">
        <w:t>Eds</w:t>
      </w:r>
      <w:proofErr w:type="spellEnd"/>
      <w:r w:rsidRPr="003F762E">
        <w:t xml:space="preserve">.), </w:t>
      </w:r>
      <w:proofErr w:type="spellStart"/>
      <w:r w:rsidRPr="003F762E">
        <w:rPr>
          <w:i/>
        </w:rPr>
        <w:t>Nanoscale</w:t>
      </w:r>
      <w:proofErr w:type="spellEnd"/>
      <w:r w:rsidRPr="003F762E">
        <w:rPr>
          <w:i/>
        </w:rPr>
        <w:t xml:space="preserve"> </w:t>
      </w:r>
      <w:proofErr w:type="spellStart"/>
      <w:r w:rsidRPr="003F762E">
        <w:rPr>
          <w:i/>
        </w:rPr>
        <w:t>Magnetic</w:t>
      </w:r>
      <w:proofErr w:type="spellEnd"/>
      <w:r w:rsidRPr="003F762E">
        <w:rPr>
          <w:i/>
        </w:rPr>
        <w:t xml:space="preserve"> </w:t>
      </w:r>
      <w:proofErr w:type="spellStart"/>
      <w:r w:rsidRPr="003F762E">
        <w:rPr>
          <w:i/>
        </w:rPr>
        <w:t>Materials</w:t>
      </w:r>
      <w:proofErr w:type="spellEnd"/>
      <w:r w:rsidRPr="003F762E">
        <w:rPr>
          <w:i/>
        </w:rPr>
        <w:t xml:space="preserve"> and </w:t>
      </w:r>
      <w:proofErr w:type="spellStart"/>
      <w:r w:rsidRPr="003F762E">
        <w:rPr>
          <w:i/>
        </w:rPr>
        <w:t>Applications</w:t>
      </w:r>
      <w:proofErr w:type="spellEnd"/>
      <w:r w:rsidRPr="003F762E">
        <w:t xml:space="preserve">, </w:t>
      </w:r>
      <w:proofErr w:type="spellStart"/>
      <w:r w:rsidRPr="003F762E">
        <w:t>Springer</w:t>
      </w:r>
      <w:proofErr w:type="spellEnd"/>
      <w:r w:rsidRPr="003F762E">
        <w:t xml:space="preserve"> 2009</w:t>
      </w:r>
      <w:r w:rsidR="00E049E7" w:rsidRPr="003F762E">
        <w:rPr>
          <w:lang w:val="en-GB"/>
        </w:rPr>
        <w:t>.</w:t>
      </w:r>
    </w:p>
    <w:p w14:paraId="4392EA60" w14:textId="77777777" w:rsidR="004C1145" w:rsidRPr="006A0142" w:rsidRDefault="003F762E" w:rsidP="008F0A71">
      <w:pPr>
        <w:pStyle w:val="Reference"/>
        <w:rPr>
          <w:lang w:val="en-GB"/>
        </w:rPr>
      </w:pPr>
      <w:r w:rsidRPr="006A0142">
        <w:rPr>
          <w:lang w:val="en-GB"/>
        </w:rPr>
        <w:t xml:space="preserve">A. Sozinov, N. </w:t>
      </w:r>
      <w:proofErr w:type="spellStart"/>
      <w:r w:rsidRPr="006A0142">
        <w:rPr>
          <w:lang w:val="en-GB"/>
        </w:rPr>
        <w:t>Lanska</w:t>
      </w:r>
      <w:proofErr w:type="spellEnd"/>
      <w:r w:rsidRPr="006A0142">
        <w:rPr>
          <w:lang w:val="en-GB"/>
        </w:rPr>
        <w:t xml:space="preserve">, A. </w:t>
      </w:r>
      <w:proofErr w:type="spellStart"/>
      <w:r w:rsidRPr="006A0142">
        <w:rPr>
          <w:lang w:val="en-GB"/>
        </w:rPr>
        <w:t>Soroka</w:t>
      </w:r>
      <w:proofErr w:type="spellEnd"/>
      <w:r w:rsidRPr="006A0142">
        <w:rPr>
          <w:lang w:val="en-GB"/>
        </w:rPr>
        <w:t xml:space="preserve">, W. Zou. 12% magnetic field-induced strain in Ni-Mn-Ga-based non-modulated martensite. </w:t>
      </w:r>
      <w:r w:rsidRPr="006A0142">
        <w:rPr>
          <w:i/>
          <w:lang w:val="en-GB"/>
        </w:rPr>
        <w:t>Appl. Phys. Rev.</w:t>
      </w:r>
      <w:r w:rsidRPr="006A0142">
        <w:rPr>
          <w:lang w:val="en-GB"/>
        </w:rPr>
        <w:t xml:space="preserve"> </w:t>
      </w:r>
      <w:r w:rsidRPr="006A0142">
        <w:rPr>
          <w:b/>
          <w:lang w:val="en-GB"/>
        </w:rPr>
        <w:t>102</w:t>
      </w:r>
      <w:r w:rsidRPr="006A0142">
        <w:rPr>
          <w:lang w:val="en-GB"/>
        </w:rPr>
        <w:t>(</w:t>
      </w:r>
      <w:r w:rsidR="006A0142" w:rsidRPr="006A0142">
        <w:rPr>
          <w:lang w:val="en-GB"/>
        </w:rPr>
        <w:t>2</w:t>
      </w:r>
      <w:r w:rsidRPr="006A0142">
        <w:rPr>
          <w:lang w:val="en-GB"/>
        </w:rPr>
        <w:t xml:space="preserve">):021902-1 </w:t>
      </w:r>
      <w:r w:rsidR="0041710B" w:rsidRPr="0041710B">
        <w:t>–</w:t>
      </w:r>
      <w:r w:rsidRPr="006A0142">
        <w:rPr>
          <w:lang w:val="en-GB"/>
        </w:rPr>
        <w:t xml:space="preserve"> 021902</w:t>
      </w:r>
      <w:r w:rsidR="006A0142" w:rsidRPr="006A0142">
        <w:rPr>
          <w:lang w:val="en-GB"/>
        </w:rPr>
        <w:t>-5</w:t>
      </w:r>
      <w:r w:rsidRPr="006A0142">
        <w:rPr>
          <w:lang w:val="en-GB"/>
        </w:rPr>
        <w:t>, 2013.</w:t>
      </w:r>
    </w:p>
    <w:p w14:paraId="76363905" w14:textId="77777777" w:rsidR="0041710B" w:rsidRDefault="006A0142" w:rsidP="0070645B">
      <w:pPr>
        <w:pStyle w:val="Reference"/>
        <w:rPr>
          <w:lang w:val="en-GB"/>
        </w:rPr>
      </w:pPr>
      <w:r w:rsidRPr="0041710B">
        <w:t xml:space="preserve">O. Heczko, L. Straka, V. </w:t>
      </w:r>
      <w:proofErr w:type="spellStart"/>
      <w:r w:rsidRPr="0041710B">
        <w:t>Novak</w:t>
      </w:r>
      <w:proofErr w:type="spellEnd"/>
      <w:r w:rsidRPr="0041710B">
        <w:t>, S. Fähler</w:t>
      </w:r>
      <w:r w:rsidR="004C1145" w:rsidRPr="0041710B">
        <w:rPr>
          <w:lang w:val="en-GB"/>
        </w:rPr>
        <w:t>.</w:t>
      </w:r>
      <w:r w:rsidR="004C1145" w:rsidRPr="0041710B">
        <w:rPr>
          <w:i/>
          <w:lang w:val="en-GB"/>
        </w:rPr>
        <w:t xml:space="preserve"> </w:t>
      </w:r>
      <w:proofErr w:type="spellStart"/>
      <w:r w:rsidRPr="0041710B">
        <w:t>Magnetic</w:t>
      </w:r>
      <w:proofErr w:type="spellEnd"/>
      <w:r w:rsidRPr="0041710B">
        <w:t xml:space="preserve"> </w:t>
      </w:r>
      <w:proofErr w:type="spellStart"/>
      <w:r w:rsidRPr="0041710B">
        <w:t>anisotropy</w:t>
      </w:r>
      <w:proofErr w:type="spellEnd"/>
      <w:r w:rsidRPr="0041710B">
        <w:t xml:space="preserve"> </w:t>
      </w:r>
      <w:proofErr w:type="spellStart"/>
      <w:r w:rsidRPr="0041710B">
        <w:t>of</w:t>
      </w:r>
      <w:proofErr w:type="spellEnd"/>
      <w:r w:rsidRPr="0041710B">
        <w:t xml:space="preserve"> </w:t>
      </w:r>
      <w:proofErr w:type="spellStart"/>
      <w:r w:rsidRPr="0041710B">
        <w:t>nonmodulated</w:t>
      </w:r>
      <w:proofErr w:type="spellEnd"/>
      <w:r w:rsidRPr="0041710B">
        <w:t xml:space="preserve"> </w:t>
      </w:r>
      <w:r w:rsidRPr="0041710B">
        <w:br/>
        <w:t>Ni-</w:t>
      </w:r>
      <w:proofErr w:type="spellStart"/>
      <w:r w:rsidRPr="0041710B">
        <w:t>Mn</w:t>
      </w:r>
      <w:proofErr w:type="spellEnd"/>
      <w:r w:rsidRPr="0041710B">
        <w:t>-</w:t>
      </w:r>
      <w:proofErr w:type="spellStart"/>
      <w:r w:rsidRPr="0041710B">
        <w:t>Ga</w:t>
      </w:r>
      <w:proofErr w:type="spellEnd"/>
      <w:r w:rsidRPr="0041710B">
        <w:t xml:space="preserve"> </w:t>
      </w:r>
      <w:proofErr w:type="spellStart"/>
      <w:r w:rsidRPr="0041710B">
        <w:t>martensite</w:t>
      </w:r>
      <w:proofErr w:type="spellEnd"/>
      <w:r w:rsidRPr="0041710B">
        <w:t xml:space="preserve"> </w:t>
      </w:r>
      <w:proofErr w:type="spellStart"/>
      <w:r w:rsidRPr="0041710B">
        <w:t>revisited</w:t>
      </w:r>
      <w:proofErr w:type="spellEnd"/>
      <w:r w:rsidRPr="0041710B">
        <w:t xml:space="preserve">. </w:t>
      </w:r>
      <w:r w:rsidRPr="0041710B">
        <w:rPr>
          <w:i/>
        </w:rPr>
        <w:t xml:space="preserve">J. </w:t>
      </w:r>
      <w:proofErr w:type="spellStart"/>
      <w:r w:rsidRPr="0041710B">
        <w:rPr>
          <w:i/>
        </w:rPr>
        <w:t>Appl</w:t>
      </w:r>
      <w:proofErr w:type="spellEnd"/>
      <w:r w:rsidRPr="0041710B">
        <w:rPr>
          <w:i/>
        </w:rPr>
        <w:t xml:space="preserve">. </w:t>
      </w:r>
      <w:proofErr w:type="spellStart"/>
      <w:r w:rsidRPr="0041710B">
        <w:rPr>
          <w:i/>
        </w:rPr>
        <w:t>Phys</w:t>
      </w:r>
      <w:proofErr w:type="spellEnd"/>
      <w:r w:rsidRPr="0041710B">
        <w:rPr>
          <w:i/>
        </w:rPr>
        <w:t xml:space="preserve">. </w:t>
      </w:r>
      <w:r w:rsidRPr="0041710B">
        <w:rPr>
          <w:b/>
        </w:rPr>
        <w:t>107</w:t>
      </w:r>
      <w:r w:rsidRPr="0041710B">
        <w:t>(9): 09A914-1 – 09A914-3, 2010.</w:t>
      </w:r>
      <w:r w:rsidR="0041710B" w:rsidRPr="0041710B">
        <w:rPr>
          <w:lang w:val="en-GB"/>
        </w:rPr>
        <w:t xml:space="preserve"> </w:t>
      </w:r>
    </w:p>
    <w:p w14:paraId="19365C5F" w14:textId="77777777" w:rsidR="0041710B" w:rsidRPr="0041710B" w:rsidRDefault="0041710B" w:rsidP="0070645B">
      <w:pPr>
        <w:pStyle w:val="Reference"/>
        <w:rPr>
          <w:lang w:val="en-GB"/>
        </w:rPr>
      </w:pPr>
      <w:r w:rsidRPr="0041710B">
        <w:t xml:space="preserve">M. Zelený, L. Straka, </w:t>
      </w:r>
      <w:r w:rsidRPr="008C766D">
        <w:t>M. Rameš</w:t>
      </w:r>
      <w:r w:rsidRPr="0041710B">
        <w:t xml:space="preserve">, A. Sozinov, O. Heczko. </w:t>
      </w:r>
      <w:proofErr w:type="spellStart"/>
      <w:r w:rsidRPr="0041710B">
        <w:t>Origin</w:t>
      </w:r>
      <w:proofErr w:type="spellEnd"/>
      <w:r w:rsidRPr="0041710B">
        <w:t xml:space="preserve"> </w:t>
      </w:r>
      <w:proofErr w:type="spellStart"/>
      <w:r w:rsidRPr="0041710B">
        <w:t>of</w:t>
      </w:r>
      <w:proofErr w:type="spellEnd"/>
      <w:r w:rsidRPr="0041710B">
        <w:t xml:space="preserve"> </w:t>
      </w:r>
      <w:proofErr w:type="spellStart"/>
      <w:r w:rsidRPr="0041710B">
        <w:t>magnetocrystalline</w:t>
      </w:r>
      <w:proofErr w:type="spellEnd"/>
      <w:r w:rsidRPr="0041710B">
        <w:t xml:space="preserve"> </w:t>
      </w:r>
      <w:proofErr w:type="spellStart"/>
      <w:r w:rsidRPr="0041710B">
        <w:t>anisotropy</w:t>
      </w:r>
      <w:proofErr w:type="spellEnd"/>
      <w:r w:rsidRPr="0041710B">
        <w:t xml:space="preserve"> in Ni-</w:t>
      </w:r>
      <w:proofErr w:type="spellStart"/>
      <w:r w:rsidRPr="0041710B">
        <w:t>Mn</w:t>
      </w:r>
      <w:proofErr w:type="spellEnd"/>
      <w:r w:rsidRPr="0041710B">
        <w:t>-</w:t>
      </w:r>
      <w:proofErr w:type="spellStart"/>
      <w:r w:rsidRPr="0041710B">
        <w:t>Ga</w:t>
      </w:r>
      <w:proofErr w:type="spellEnd"/>
      <w:r w:rsidRPr="0041710B">
        <w:t>-Co-</w:t>
      </w:r>
      <w:proofErr w:type="spellStart"/>
      <w:r w:rsidRPr="0041710B">
        <w:t>Cu</w:t>
      </w:r>
      <w:proofErr w:type="spellEnd"/>
      <w:r w:rsidRPr="0041710B">
        <w:t xml:space="preserve"> </w:t>
      </w:r>
      <w:proofErr w:type="spellStart"/>
      <w:r w:rsidRPr="0041710B">
        <w:t>tetragonal</w:t>
      </w:r>
      <w:proofErr w:type="spellEnd"/>
      <w:r w:rsidRPr="0041710B">
        <w:t xml:space="preserve"> </w:t>
      </w:r>
      <w:proofErr w:type="spellStart"/>
      <w:r w:rsidRPr="0041710B">
        <w:t>martensite</w:t>
      </w:r>
      <w:proofErr w:type="spellEnd"/>
      <w:r w:rsidRPr="0041710B">
        <w:t xml:space="preserve">. </w:t>
      </w:r>
      <w:r w:rsidRPr="0041710B">
        <w:rPr>
          <w:i/>
        </w:rPr>
        <w:t xml:space="preserve">J. Magn. Magn. Mater. </w:t>
      </w:r>
      <w:r w:rsidRPr="0041710B">
        <w:rPr>
          <w:b/>
        </w:rPr>
        <w:t>503</w:t>
      </w:r>
      <w:r w:rsidRPr="0041710B">
        <w:t>:</w:t>
      </w:r>
      <w:r>
        <w:t xml:space="preserve"> </w:t>
      </w:r>
      <w:r w:rsidRPr="0041710B">
        <w:t>166522-</w:t>
      </w:r>
      <w:proofErr w:type="gramStart"/>
      <w:r w:rsidRPr="0041710B">
        <w:t>1</w:t>
      </w:r>
      <w:r>
        <w:t xml:space="preserve"> </w:t>
      </w:r>
      <w:r w:rsidRPr="0041710B">
        <w:t>–</w:t>
      </w:r>
      <w:r>
        <w:t xml:space="preserve"> </w:t>
      </w:r>
      <w:r w:rsidRPr="0041710B">
        <w:t>166522</w:t>
      </w:r>
      <w:proofErr w:type="gramEnd"/>
      <w:r w:rsidRPr="0041710B">
        <w:t>-8, 2020.</w:t>
      </w:r>
    </w:p>
    <w:p w14:paraId="55825D2F" w14:textId="77777777" w:rsidR="0041710B" w:rsidRPr="0041710B" w:rsidRDefault="0041710B" w:rsidP="0070645B">
      <w:pPr>
        <w:pStyle w:val="Reference"/>
        <w:rPr>
          <w:lang w:val="en-GB"/>
        </w:rPr>
      </w:pPr>
      <w:r w:rsidRPr="0041710B">
        <w:t xml:space="preserve">W. </w:t>
      </w:r>
      <w:proofErr w:type="spellStart"/>
      <w:r w:rsidRPr="0041710B">
        <w:t>Sucksmith</w:t>
      </w:r>
      <w:proofErr w:type="spellEnd"/>
      <w:r w:rsidRPr="0041710B">
        <w:t xml:space="preserve">, J. E. Thompson. </w:t>
      </w:r>
      <w:proofErr w:type="spellStart"/>
      <w:r w:rsidRPr="0041710B">
        <w:t>The</w:t>
      </w:r>
      <w:proofErr w:type="spellEnd"/>
      <w:r w:rsidRPr="0041710B">
        <w:t xml:space="preserve"> </w:t>
      </w:r>
      <w:proofErr w:type="spellStart"/>
      <w:r w:rsidRPr="0041710B">
        <w:t>magnetic</w:t>
      </w:r>
      <w:proofErr w:type="spellEnd"/>
      <w:r w:rsidRPr="0041710B">
        <w:t xml:space="preserve"> </w:t>
      </w:r>
      <w:proofErr w:type="spellStart"/>
      <w:r w:rsidRPr="0041710B">
        <w:t>anisotropy</w:t>
      </w:r>
      <w:proofErr w:type="spellEnd"/>
      <w:r w:rsidRPr="0041710B">
        <w:t xml:space="preserve"> </w:t>
      </w:r>
      <w:proofErr w:type="spellStart"/>
      <w:r w:rsidRPr="0041710B">
        <w:t>of</w:t>
      </w:r>
      <w:proofErr w:type="spellEnd"/>
      <w:r w:rsidRPr="0041710B">
        <w:t xml:space="preserve"> </w:t>
      </w:r>
      <w:proofErr w:type="spellStart"/>
      <w:r w:rsidRPr="0041710B">
        <w:t>cobalt</w:t>
      </w:r>
      <w:proofErr w:type="spellEnd"/>
      <w:r w:rsidRPr="0041710B">
        <w:t xml:space="preserve">. </w:t>
      </w:r>
      <w:proofErr w:type="spellStart"/>
      <w:r w:rsidRPr="0041710B">
        <w:rPr>
          <w:i/>
        </w:rPr>
        <w:t>Proc</w:t>
      </w:r>
      <w:proofErr w:type="spellEnd"/>
      <w:r w:rsidRPr="0041710B">
        <w:rPr>
          <w:i/>
        </w:rPr>
        <w:t xml:space="preserve">. Roy. Soc. London A </w:t>
      </w:r>
      <w:r w:rsidRPr="0041710B">
        <w:rPr>
          <w:b/>
        </w:rPr>
        <w:t>225</w:t>
      </w:r>
      <w:r w:rsidRPr="0041710B">
        <w:t>(1162):</w:t>
      </w:r>
      <w:proofErr w:type="gramStart"/>
      <w:r w:rsidRPr="0041710B">
        <w:t>362 – 375</w:t>
      </w:r>
      <w:proofErr w:type="gramEnd"/>
      <w:r w:rsidRPr="0041710B">
        <w:t>, 1954.</w:t>
      </w:r>
    </w:p>
    <w:p w14:paraId="053DC884" w14:textId="77777777" w:rsidR="0041710B" w:rsidRPr="008C766D" w:rsidRDefault="0041710B" w:rsidP="0070645B">
      <w:pPr>
        <w:pStyle w:val="Reference"/>
        <w:rPr>
          <w:lang w:val="en-GB"/>
        </w:rPr>
      </w:pPr>
      <w:r w:rsidRPr="008C766D">
        <w:t xml:space="preserve">M. Rameš, O. Heczko, A. Sozinov, K. Ullakko, L. Straka. </w:t>
      </w:r>
      <w:proofErr w:type="spellStart"/>
      <w:r w:rsidRPr="008C766D">
        <w:t>Magnetic</w:t>
      </w:r>
      <w:proofErr w:type="spellEnd"/>
      <w:r w:rsidRPr="008C766D">
        <w:t xml:space="preserve"> </w:t>
      </w:r>
      <w:proofErr w:type="spellStart"/>
      <w:r w:rsidRPr="008C766D">
        <w:t>properties</w:t>
      </w:r>
      <w:proofErr w:type="spellEnd"/>
      <w:r w:rsidRPr="008C766D">
        <w:t xml:space="preserve"> </w:t>
      </w:r>
      <w:proofErr w:type="spellStart"/>
      <w:r w:rsidRPr="008C766D">
        <w:t>of</w:t>
      </w:r>
      <w:proofErr w:type="spellEnd"/>
      <w:r w:rsidRPr="008C766D">
        <w:t xml:space="preserve"> </w:t>
      </w:r>
      <w:r w:rsidRPr="008C766D">
        <w:br/>
        <w:t>Ni-</w:t>
      </w:r>
      <w:proofErr w:type="spellStart"/>
      <w:r w:rsidRPr="008C766D">
        <w:t>Mn</w:t>
      </w:r>
      <w:proofErr w:type="spellEnd"/>
      <w:r w:rsidRPr="008C766D">
        <w:t>-</w:t>
      </w:r>
      <w:proofErr w:type="spellStart"/>
      <w:r w:rsidRPr="008C766D">
        <w:t>Ga</w:t>
      </w:r>
      <w:proofErr w:type="spellEnd"/>
      <w:r w:rsidRPr="008C766D">
        <w:t>-Co-</w:t>
      </w:r>
      <w:proofErr w:type="spellStart"/>
      <w:r w:rsidRPr="008C766D">
        <w:t>Cu</w:t>
      </w:r>
      <w:proofErr w:type="spellEnd"/>
      <w:r w:rsidRPr="008C766D">
        <w:t xml:space="preserve"> </w:t>
      </w:r>
      <w:proofErr w:type="spellStart"/>
      <w:r w:rsidRPr="008C766D">
        <w:t>tetragonal</w:t>
      </w:r>
      <w:proofErr w:type="spellEnd"/>
      <w:r w:rsidRPr="008C766D">
        <w:t xml:space="preserve"> </w:t>
      </w:r>
      <w:proofErr w:type="spellStart"/>
      <w:r w:rsidRPr="008C766D">
        <w:t>martensites</w:t>
      </w:r>
      <w:proofErr w:type="spellEnd"/>
      <w:r w:rsidRPr="008C766D">
        <w:t xml:space="preserve"> </w:t>
      </w:r>
      <w:proofErr w:type="spellStart"/>
      <w:r w:rsidRPr="008C766D">
        <w:t>exhibiting</w:t>
      </w:r>
      <w:proofErr w:type="spellEnd"/>
      <w:r w:rsidRPr="008C766D">
        <w:t xml:space="preserve"> </w:t>
      </w:r>
      <w:proofErr w:type="spellStart"/>
      <w:r w:rsidRPr="008C766D">
        <w:t>magnetic</w:t>
      </w:r>
      <w:proofErr w:type="spellEnd"/>
      <w:r w:rsidRPr="008C766D">
        <w:t xml:space="preserve"> </w:t>
      </w:r>
      <w:proofErr w:type="spellStart"/>
      <w:r w:rsidRPr="008C766D">
        <w:t>shape</w:t>
      </w:r>
      <w:proofErr w:type="spellEnd"/>
      <w:r w:rsidRPr="008C766D">
        <w:t xml:space="preserve"> </w:t>
      </w:r>
      <w:proofErr w:type="spellStart"/>
      <w:r w:rsidRPr="008C766D">
        <w:t>memory</w:t>
      </w:r>
      <w:proofErr w:type="spellEnd"/>
      <w:r w:rsidRPr="008C766D">
        <w:t xml:space="preserve"> </w:t>
      </w:r>
      <w:proofErr w:type="spellStart"/>
      <w:r w:rsidRPr="008C766D">
        <w:t>effect</w:t>
      </w:r>
      <w:proofErr w:type="spellEnd"/>
      <w:r w:rsidRPr="008C766D">
        <w:t xml:space="preserve">. </w:t>
      </w:r>
      <w:proofErr w:type="spellStart"/>
      <w:r w:rsidRPr="008C766D">
        <w:rPr>
          <w:i/>
        </w:rPr>
        <w:t>Scr</w:t>
      </w:r>
      <w:proofErr w:type="spellEnd"/>
      <w:r w:rsidRPr="008C766D">
        <w:rPr>
          <w:i/>
        </w:rPr>
        <w:t xml:space="preserve">. Mater. </w:t>
      </w:r>
      <w:r w:rsidRPr="008C766D">
        <w:rPr>
          <w:b/>
        </w:rPr>
        <w:t>142</w:t>
      </w:r>
      <w:r w:rsidRPr="008C766D">
        <w:t>:</w:t>
      </w:r>
      <w:proofErr w:type="gramStart"/>
      <w:r w:rsidRPr="008C766D">
        <w:t>61 – 65</w:t>
      </w:r>
      <w:proofErr w:type="gramEnd"/>
      <w:r w:rsidR="008C766D" w:rsidRPr="008C766D">
        <w:t>, 2018.</w:t>
      </w:r>
    </w:p>
    <w:p w14:paraId="2E422DC5" w14:textId="77777777" w:rsidR="008C766D" w:rsidRPr="008C766D" w:rsidRDefault="008C766D" w:rsidP="0070645B">
      <w:pPr>
        <w:pStyle w:val="Reference"/>
        <w:rPr>
          <w:lang w:val="en-GB"/>
        </w:rPr>
      </w:pPr>
      <w:r w:rsidRPr="008C766D">
        <w:t xml:space="preserve">J. </w:t>
      </w:r>
      <w:proofErr w:type="spellStart"/>
      <w:r w:rsidRPr="008C766D">
        <w:t>Enkovaara</w:t>
      </w:r>
      <w:proofErr w:type="spellEnd"/>
      <w:r w:rsidRPr="008C766D">
        <w:t xml:space="preserve">, A. </w:t>
      </w:r>
      <w:proofErr w:type="spellStart"/>
      <w:r w:rsidRPr="008C766D">
        <w:t>Ayuela</w:t>
      </w:r>
      <w:proofErr w:type="spellEnd"/>
      <w:r w:rsidRPr="008C766D">
        <w:t xml:space="preserve">, L. </w:t>
      </w:r>
      <w:proofErr w:type="spellStart"/>
      <w:r w:rsidRPr="008C766D">
        <w:t>Nordström</w:t>
      </w:r>
      <w:proofErr w:type="spellEnd"/>
      <w:r w:rsidRPr="008C766D">
        <w:t xml:space="preserve">, R. M. </w:t>
      </w:r>
      <w:proofErr w:type="spellStart"/>
      <w:r w:rsidRPr="008C766D">
        <w:t>Nieminen</w:t>
      </w:r>
      <w:proofErr w:type="spellEnd"/>
      <w:r w:rsidRPr="008C766D">
        <w:t xml:space="preserve">. </w:t>
      </w:r>
      <w:proofErr w:type="spellStart"/>
      <w:r w:rsidRPr="008C766D">
        <w:t>Magnetic</w:t>
      </w:r>
      <w:proofErr w:type="spellEnd"/>
      <w:r w:rsidRPr="008C766D">
        <w:t xml:space="preserve"> </w:t>
      </w:r>
      <w:proofErr w:type="spellStart"/>
      <w:r w:rsidRPr="008C766D">
        <w:t>anisotropy</w:t>
      </w:r>
      <w:proofErr w:type="spellEnd"/>
      <w:r w:rsidRPr="008C766D">
        <w:t xml:space="preserve"> </w:t>
      </w:r>
      <w:r w:rsidRPr="008C766D">
        <w:br/>
      </w:r>
      <w:proofErr w:type="spellStart"/>
      <w:r w:rsidRPr="008C766D">
        <w:t>of</w:t>
      </w:r>
      <w:proofErr w:type="spellEnd"/>
      <w:r w:rsidRPr="008C766D">
        <w:t xml:space="preserve"> Ni</w:t>
      </w:r>
      <w:r w:rsidRPr="008C766D">
        <w:rPr>
          <w:vertAlign w:val="subscript"/>
        </w:rPr>
        <w:t>2</w:t>
      </w:r>
      <w:r w:rsidRPr="008C766D">
        <w:t xml:space="preserve">MnGa. </w:t>
      </w:r>
      <w:proofErr w:type="spellStart"/>
      <w:r w:rsidRPr="008C766D">
        <w:rPr>
          <w:i/>
        </w:rPr>
        <w:t>Phys</w:t>
      </w:r>
      <w:proofErr w:type="spellEnd"/>
      <w:r w:rsidRPr="008C766D">
        <w:rPr>
          <w:i/>
        </w:rPr>
        <w:t xml:space="preserve">. </w:t>
      </w:r>
      <w:proofErr w:type="spellStart"/>
      <w:r w:rsidRPr="008C766D">
        <w:rPr>
          <w:i/>
        </w:rPr>
        <w:t>Rev</w:t>
      </w:r>
      <w:proofErr w:type="spellEnd"/>
      <w:r w:rsidRPr="008C766D">
        <w:rPr>
          <w:i/>
        </w:rPr>
        <w:t xml:space="preserve">. B </w:t>
      </w:r>
      <w:r w:rsidRPr="008C766D">
        <w:rPr>
          <w:b/>
        </w:rPr>
        <w:t>65</w:t>
      </w:r>
      <w:r w:rsidRPr="008C766D">
        <w:t>(13):134422-</w:t>
      </w:r>
      <w:proofErr w:type="gramStart"/>
      <w:r w:rsidRPr="008C766D">
        <w:t>1 – 134422</w:t>
      </w:r>
      <w:proofErr w:type="gramEnd"/>
      <w:r w:rsidRPr="008C766D">
        <w:t>-7, 2002.</w:t>
      </w:r>
    </w:p>
    <w:p w14:paraId="3BE2B2C9" w14:textId="77777777" w:rsidR="000269B2" w:rsidRPr="00AE2CBF" w:rsidRDefault="008C766D" w:rsidP="0070645B">
      <w:pPr>
        <w:pStyle w:val="Reference"/>
        <w:rPr>
          <w:lang w:val="en-GB"/>
        </w:rPr>
      </w:pPr>
      <w:r w:rsidRPr="00AE2CBF">
        <w:t xml:space="preserve">A. </w:t>
      </w:r>
      <w:proofErr w:type="spellStart"/>
      <w:r w:rsidRPr="00AE2CBF">
        <w:t>Soroka</w:t>
      </w:r>
      <w:proofErr w:type="spellEnd"/>
      <w:r w:rsidRPr="00AE2CBF">
        <w:t xml:space="preserve">, A. Sozinov, N. </w:t>
      </w:r>
      <w:proofErr w:type="spellStart"/>
      <w:r w:rsidRPr="00AE2CBF">
        <w:t>Lanska</w:t>
      </w:r>
      <w:proofErr w:type="spellEnd"/>
      <w:r w:rsidRPr="00AE2CBF">
        <w:t xml:space="preserve">, </w:t>
      </w:r>
      <w:r w:rsidRPr="00B860E8">
        <w:rPr>
          <w:bCs/>
          <w:u w:val="single"/>
        </w:rPr>
        <w:t>M. Rameš</w:t>
      </w:r>
      <w:r w:rsidRPr="00AE2CBF">
        <w:t xml:space="preserve">, L. Straka, K. Ullakko. </w:t>
      </w:r>
      <w:proofErr w:type="spellStart"/>
      <w:r w:rsidRPr="00AE2CBF">
        <w:t>Composition</w:t>
      </w:r>
      <w:proofErr w:type="spellEnd"/>
      <w:r w:rsidRPr="00AE2CBF">
        <w:t xml:space="preserve"> and </w:t>
      </w:r>
      <w:proofErr w:type="spellStart"/>
      <w:r w:rsidRPr="00AE2CBF">
        <w:t>temperature</w:t>
      </w:r>
      <w:proofErr w:type="spellEnd"/>
      <w:r w:rsidRPr="00AE2CBF">
        <w:t xml:space="preserve"> dependence </w:t>
      </w:r>
      <w:proofErr w:type="spellStart"/>
      <w:r w:rsidRPr="00AE2CBF">
        <w:t>of</w:t>
      </w:r>
      <w:proofErr w:type="spellEnd"/>
      <w:r w:rsidRPr="00AE2CBF">
        <w:t xml:space="preserve"> </w:t>
      </w:r>
      <w:proofErr w:type="spellStart"/>
      <w:r w:rsidRPr="00AE2CBF">
        <w:t>twinning</w:t>
      </w:r>
      <w:proofErr w:type="spellEnd"/>
      <w:r w:rsidRPr="00AE2CBF">
        <w:t xml:space="preserve"> stress in non-</w:t>
      </w:r>
      <w:proofErr w:type="spellStart"/>
      <w:r w:rsidRPr="00AE2CBF">
        <w:t>modulated</w:t>
      </w:r>
      <w:proofErr w:type="spellEnd"/>
      <w:r w:rsidRPr="00AE2CBF">
        <w:t xml:space="preserve"> </w:t>
      </w:r>
      <w:proofErr w:type="spellStart"/>
      <w:r w:rsidRPr="00AE2CBF">
        <w:t>martensite</w:t>
      </w:r>
      <w:proofErr w:type="spellEnd"/>
      <w:r w:rsidRPr="00AE2CBF">
        <w:t xml:space="preserve"> </w:t>
      </w:r>
      <w:proofErr w:type="spellStart"/>
      <w:r w:rsidRPr="00AE2CBF">
        <w:t>of</w:t>
      </w:r>
      <w:proofErr w:type="spellEnd"/>
      <w:r w:rsidRPr="00AE2CBF">
        <w:t xml:space="preserve"> Ni-</w:t>
      </w:r>
      <w:proofErr w:type="spellStart"/>
      <w:r w:rsidRPr="00AE2CBF">
        <w:t>Mn</w:t>
      </w:r>
      <w:proofErr w:type="spellEnd"/>
      <w:r w:rsidRPr="00AE2CBF">
        <w:t>-</w:t>
      </w:r>
      <w:proofErr w:type="spellStart"/>
      <w:r w:rsidRPr="00AE2CBF">
        <w:t>Ga</w:t>
      </w:r>
      <w:proofErr w:type="spellEnd"/>
      <w:r w:rsidRPr="00AE2CBF">
        <w:t>-Co-</w:t>
      </w:r>
      <w:proofErr w:type="spellStart"/>
      <w:r w:rsidRPr="00AE2CBF">
        <w:t>Cu</w:t>
      </w:r>
      <w:proofErr w:type="spellEnd"/>
      <w:r w:rsidRPr="00AE2CBF">
        <w:t xml:space="preserve"> </w:t>
      </w:r>
      <w:proofErr w:type="spellStart"/>
      <w:r w:rsidRPr="00AE2CBF">
        <w:t>magnetic</w:t>
      </w:r>
      <w:proofErr w:type="spellEnd"/>
      <w:r w:rsidRPr="00AE2CBF">
        <w:t xml:space="preserve"> </w:t>
      </w:r>
      <w:proofErr w:type="spellStart"/>
      <w:r w:rsidRPr="00AE2CBF">
        <w:t>shape</w:t>
      </w:r>
      <w:proofErr w:type="spellEnd"/>
      <w:r w:rsidRPr="00AE2CBF">
        <w:t xml:space="preserve"> </w:t>
      </w:r>
      <w:proofErr w:type="spellStart"/>
      <w:r w:rsidRPr="00AE2CBF">
        <w:t>memory</w:t>
      </w:r>
      <w:proofErr w:type="spellEnd"/>
      <w:r w:rsidRPr="00AE2CBF">
        <w:t xml:space="preserve"> </w:t>
      </w:r>
      <w:proofErr w:type="spellStart"/>
      <w:r w:rsidRPr="00AE2CBF">
        <w:t>alloys</w:t>
      </w:r>
      <w:proofErr w:type="spellEnd"/>
      <w:r w:rsidRPr="00AE2CBF">
        <w:t xml:space="preserve">. </w:t>
      </w:r>
      <w:proofErr w:type="spellStart"/>
      <w:r w:rsidRPr="00AE2CBF">
        <w:rPr>
          <w:i/>
        </w:rPr>
        <w:t>Scr</w:t>
      </w:r>
      <w:proofErr w:type="spellEnd"/>
      <w:r w:rsidRPr="00AE2CBF">
        <w:rPr>
          <w:i/>
        </w:rPr>
        <w:t xml:space="preserve">. Mater. </w:t>
      </w:r>
      <w:r w:rsidRPr="00AE2CBF">
        <w:rPr>
          <w:b/>
        </w:rPr>
        <w:t>144:</w:t>
      </w:r>
      <w:proofErr w:type="gramStart"/>
      <w:r w:rsidRPr="00AE2CBF">
        <w:t>52 – 55</w:t>
      </w:r>
      <w:proofErr w:type="gramEnd"/>
      <w:r w:rsidRPr="00AE2CBF">
        <w:t>, 2018.</w:t>
      </w:r>
    </w:p>
    <w:sectPr w:rsidR="000269B2" w:rsidRPr="00AE2CBF" w:rsidSect="005A377A">
      <w:pgSz w:w="11907" w:h="16840" w:code="9"/>
      <w:pgMar w:top="1928" w:right="1588" w:bottom="215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0822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3CC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46FC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D2E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25AA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8E7885"/>
    <w:multiLevelType w:val="hybridMultilevel"/>
    <w:tmpl w:val="961C1CAE"/>
    <w:lvl w:ilvl="0" w:tplc="B9243A18">
      <w:start w:val="1"/>
      <w:numFmt w:val="bullet"/>
      <w:pStyle w:val="Odrky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4312750"/>
    <w:multiLevelType w:val="hybridMultilevel"/>
    <w:tmpl w:val="7D5A494E"/>
    <w:lvl w:ilvl="0" w:tplc="C6821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A5C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8019A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172FF"/>
    <w:multiLevelType w:val="hybridMultilevel"/>
    <w:tmpl w:val="FF74CDA4"/>
    <w:lvl w:ilvl="0" w:tplc="BC6860A6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9546A"/>
    <w:multiLevelType w:val="hybridMultilevel"/>
    <w:tmpl w:val="E6421BDE"/>
    <w:lvl w:ilvl="0" w:tplc="9960A394">
      <w:numFmt w:val="bullet"/>
      <w:lvlText w:val="-"/>
      <w:lvlJc w:val="left"/>
      <w:pPr>
        <w:ind w:left="757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4DC962E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0A08A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66573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8D758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2E5D1B"/>
    <w:multiLevelType w:val="hybridMultilevel"/>
    <w:tmpl w:val="4BC6710C"/>
    <w:lvl w:ilvl="0" w:tplc="42FE674A">
      <w:start w:val="1"/>
      <w:numFmt w:val="decimal"/>
      <w:pStyle w:val="slovn"/>
      <w:lvlText w:val="%1."/>
      <w:lvlJc w:val="left"/>
      <w:pPr>
        <w:ind w:left="1117" w:hanging="360"/>
      </w:p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6D505B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2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6"/>
  </w:num>
  <w:num w:numId="13">
    <w:abstractNumId w:val="14"/>
  </w:num>
  <w:num w:numId="14">
    <w:abstractNumId w:val="10"/>
  </w:num>
  <w:num w:numId="15">
    <w:abstractNumId w:val="5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B2"/>
    <w:rsid w:val="000033A0"/>
    <w:rsid w:val="000046B3"/>
    <w:rsid w:val="000269B2"/>
    <w:rsid w:val="000314FF"/>
    <w:rsid w:val="0004659A"/>
    <w:rsid w:val="00053710"/>
    <w:rsid w:val="0008064B"/>
    <w:rsid w:val="00094358"/>
    <w:rsid w:val="000B5F67"/>
    <w:rsid w:val="000B77DF"/>
    <w:rsid w:val="000C326D"/>
    <w:rsid w:val="000C5180"/>
    <w:rsid w:val="000C7F84"/>
    <w:rsid w:val="001131C2"/>
    <w:rsid w:val="001207F4"/>
    <w:rsid w:val="00127D27"/>
    <w:rsid w:val="0015723F"/>
    <w:rsid w:val="00190D7D"/>
    <w:rsid w:val="001C0855"/>
    <w:rsid w:val="001E262D"/>
    <w:rsid w:val="001E67A7"/>
    <w:rsid w:val="002014A4"/>
    <w:rsid w:val="00237380"/>
    <w:rsid w:val="00255555"/>
    <w:rsid w:val="0027061C"/>
    <w:rsid w:val="00272184"/>
    <w:rsid w:val="00272A30"/>
    <w:rsid w:val="00273B69"/>
    <w:rsid w:val="00284E84"/>
    <w:rsid w:val="0029252B"/>
    <w:rsid w:val="00292986"/>
    <w:rsid w:val="00295ECF"/>
    <w:rsid w:val="002A64FA"/>
    <w:rsid w:val="002B4B72"/>
    <w:rsid w:val="002F7D14"/>
    <w:rsid w:val="00316579"/>
    <w:rsid w:val="00322F60"/>
    <w:rsid w:val="00341F80"/>
    <w:rsid w:val="00344202"/>
    <w:rsid w:val="0035056D"/>
    <w:rsid w:val="003A165D"/>
    <w:rsid w:val="003A2B25"/>
    <w:rsid w:val="003B3325"/>
    <w:rsid w:val="003C444B"/>
    <w:rsid w:val="003C5E50"/>
    <w:rsid w:val="003D30B6"/>
    <w:rsid w:val="003F762E"/>
    <w:rsid w:val="00405613"/>
    <w:rsid w:val="0041710B"/>
    <w:rsid w:val="0044044A"/>
    <w:rsid w:val="00460AC9"/>
    <w:rsid w:val="004843A4"/>
    <w:rsid w:val="004C1145"/>
    <w:rsid w:val="004D390F"/>
    <w:rsid w:val="00504D98"/>
    <w:rsid w:val="005169F3"/>
    <w:rsid w:val="0052210D"/>
    <w:rsid w:val="0053053F"/>
    <w:rsid w:val="00553888"/>
    <w:rsid w:val="00562DC5"/>
    <w:rsid w:val="00582447"/>
    <w:rsid w:val="00591A47"/>
    <w:rsid w:val="005A377A"/>
    <w:rsid w:val="005A3929"/>
    <w:rsid w:val="005B231F"/>
    <w:rsid w:val="005C3D74"/>
    <w:rsid w:val="005E13B4"/>
    <w:rsid w:val="005E525A"/>
    <w:rsid w:val="006169AC"/>
    <w:rsid w:val="0062000D"/>
    <w:rsid w:val="00630841"/>
    <w:rsid w:val="0063234A"/>
    <w:rsid w:val="00646772"/>
    <w:rsid w:val="0066277B"/>
    <w:rsid w:val="00666660"/>
    <w:rsid w:val="00681DA0"/>
    <w:rsid w:val="006905A3"/>
    <w:rsid w:val="006A0142"/>
    <w:rsid w:val="006B10A5"/>
    <w:rsid w:val="006B7852"/>
    <w:rsid w:val="006C3DE3"/>
    <w:rsid w:val="006D1F51"/>
    <w:rsid w:val="00700A47"/>
    <w:rsid w:val="0070645B"/>
    <w:rsid w:val="00731DD9"/>
    <w:rsid w:val="00741D99"/>
    <w:rsid w:val="00750BF8"/>
    <w:rsid w:val="007662FA"/>
    <w:rsid w:val="00776984"/>
    <w:rsid w:val="007B5EE9"/>
    <w:rsid w:val="007C463E"/>
    <w:rsid w:val="007D22B5"/>
    <w:rsid w:val="007E0574"/>
    <w:rsid w:val="007E57E4"/>
    <w:rsid w:val="007E6103"/>
    <w:rsid w:val="00810220"/>
    <w:rsid w:val="00811D62"/>
    <w:rsid w:val="00842EE2"/>
    <w:rsid w:val="008477EC"/>
    <w:rsid w:val="00852270"/>
    <w:rsid w:val="008574A5"/>
    <w:rsid w:val="0085757B"/>
    <w:rsid w:val="008627C8"/>
    <w:rsid w:val="008C766D"/>
    <w:rsid w:val="008E6D3D"/>
    <w:rsid w:val="008F0A71"/>
    <w:rsid w:val="00904709"/>
    <w:rsid w:val="00920947"/>
    <w:rsid w:val="009341FF"/>
    <w:rsid w:val="009348E3"/>
    <w:rsid w:val="00960694"/>
    <w:rsid w:val="0096127C"/>
    <w:rsid w:val="00985CCF"/>
    <w:rsid w:val="00993CEC"/>
    <w:rsid w:val="009B20D7"/>
    <w:rsid w:val="009B77D4"/>
    <w:rsid w:val="009D39CE"/>
    <w:rsid w:val="009F320B"/>
    <w:rsid w:val="00A009AA"/>
    <w:rsid w:val="00A266BA"/>
    <w:rsid w:val="00A40DD6"/>
    <w:rsid w:val="00A5021A"/>
    <w:rsid w:val="00A51513"/>
    <w:rsid w:val="00A521FB"/>
    <w:rsid w:val="00A57E71"/>
    <w:rsid w:val="00A71FEA"/>
    <w:rsid w:val="00AB2114"/>
    <w:rsid w:val="00AB3A49"/>
    <w:rsid w:val="00AC699B"/>
    <w:rsid w:val="00AC6C4D"/>
    <w:rsid w:val="00AD57B6"/>
    <w:rsid w:val="00AE2CBF"/>
    <w:rsid w:val="00AE519E"/>
    <w:rsid w:val="00AF54C9"/>
    <w:rsid w:val="00AF5E3C"/>
    <w:rsid w:val="00AF742B"/>
    <w:rsid w:val="00B00F8C"/>
    <w:rsid w:val="00B11608"/>
    <w:rsid w:val="00B158AD"/>
    <w:rsid w:val="00B21342"/>
    <w:rsid w:val="00B23733"/>
    <w:rsid w:val="00B2760A"/>
    <w:rsid w:val="00B3508D"/>
    <w:rsid w:val="00B35910"/>
    <w:rsid w:val="00B3664F"/>
    <w:rsid w:val="00B4258A"/>
    <w:rsid w:val="00B47E90"/>
    <w:rsid w:val="00B6131E"/>
    <w:rsid w:val="00B65FA1"/>
    <w:rsid w:val="00B860E8"/>
    <w:rsid w:val="00B97119"/>
    <w:rsid w:val="00BA0435"/>
    <w:rsid w:val="00BC29D5"/>
    <w:rsid w:val="00BF3490"/>
    <w:rsid w:val="00C1295C"/>
    <w:rsid w:val="00C249E4"/>
    <w:rsid w:val="00C2526E"/>
    <w:rsid w:val="00C25A70"/>
    <w:rsid w:val="00C6519E"/>
    <w:rsid w:val="00C65561"/>
    <w:rsid w:val="00CB4BB2"/>
    <w:rsid w:val="00CD0B4C"/>
    <w:rsid w:val="00CF6F30"/>
    <w:rsid w:val="00D31D32"/>
    <w:rsid w:val="00D42526"/>
    <w:rsid w:val="00D538EB"/>
    <w:rsid w:val="00DA0744"/>
    <w:rsid w:val="00DC310B"/>
    <w:rsid w:val="00DD795B"/>
    <w:rsid w:val="00DE4457"/>
    <w:rsid w:val="00DF1ACE"/>
    <w:rsid w:val="00DF4A8F"/>
    <w:rsid w:val="00E049E7"/>
    <w:rsid w:val="00E52F2F"/>
    <w:rsid w:val="00E603B4"/>
    <w:rsid w:val="00E60C1C"/>
    <w:rsid w:val="00E93822"/>
    <w:rsid w:val="00EA497C"/>
    <w:rsid w:val="00EC5C75"/>
    <w:rsid w:val="00ED2994"/>
    <w:rsid w:val="00EE2982"/>
    <w:rsid w:val="00EF50B3"/>
    <w:rsid w:val="00EF68BF"/>
    <w:rsid w:val="00EF7F04"/>
    <w:rsid w:val="00F04551"/>
    <w:rsid w:val="00F71FEE"/>
    <w:rsid w:val="00F7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A2F08"/>
  <w15:docId w15:val="{69015641-5098-4B77-857E-8AB0E18C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D795B"/>
    <w:pPr>
      <w:ind w:firstLine="397"/>
      <w:jc w:val="both"/>
    </w:pPr>
    <w:rPr>
      <w:rFonts w:ascii="Times New Roman" w:hAnsi="Times New Roman"/>
      <w:sz w:val="24"/>
      <w:szCs w:val="22"/>
      <w:lang w:val="cs-CZ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76984"/>
    <w:pPr>
      <w:keepNext/>
      <w:spacing w:after="200"/>
      <w:ind w:firstLine="0"/>
      <w:jc w:val="center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Heading2">
    <w:name w:val="heading 2"/>
    <w:basedOn w:val="Normal"/>
    <w:next w:val="Text-1odstavec"/>
    <w:link w:val="Heading2Char"/>
    <w:uiPriority w:val="9"/>
    <w:unhideWhenUsed/>
    <w:rsid w:val="0008064B"/>
    <w:pPr>
      <w:keepNext/>
      <w:spacing w:before="360" w:after="200"/>
      <w:ind w:firstLine="0"/>
      <w:jc w:val="left"/>
      <w:outlineLvl w:val="1"/>
    </w:pPr>
    <w:rPr>
      <w:rFonts w:eastAsia="Times New Roman"/>
      <w:b/>
      <w:bCs/>
      <w:iCs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76984"/>
    <w:rPr>
      <w:rFonts w:ascii="Times New Roman" w:eastAsia="Times New Roman" w:hAnsi="Times New Roman"/>
      <w:b/>
      <w:bCs/>
      <w:kern w:val="32"/>
      <w:sz w:val="30"/>
      <w:szCs w:val="32"/>
      <w:lang w:val="cs-CZ" w:eastAsia="en-US"/>
    </w:rPr>
  </w:style>
  <w:style w:type="paragraph" w:customStyle="1" w:styleId="Text-1odstavec">
    <w:name w:val="Text-1.odstavec"/>
    <w:basedOn w:val="Normal"/>
    <w:next w:val="Text"/>
    <w:link w:val="Text-1odstavecChar"/>
    <w:qFormat/>
    <w:rsid w:val="00EE2982"/>
    <w:pPr>
      <w:ind w:firstLine="0"/>
    </w:pPr>
    <w:rPr>
      <w:sz w:val="22"/>
    </w:rPr>
  </w:style>
  <w:style w:type="character" w:customStyle="1" w:styleId="Text-1odstavecChar">
    <w:name w:val="Text-1.odstavec Char"/>
    <w:link w:val="Text-1odstavec"/>
    <w:rsid w:val="00EE2982"/>
    <w:rPr>
      <w:rFonts w:ascii="Times New Roman" w:hAnsi="Times New Roman"/>
      <w:sz w:val="22"/>
      <w:szCs w:val="22"/>
      <w:lang w:val="cs-CZ" w:eastAsia="en-US"/>
    </w:rPr>
  </w:style>
  <w:style w:type="character" w:customStyle="1" w:styleId="Heading2Char">
    <w:name w:val="Heading 2 Char"/>
    <w:link w:val="Heading2"/>
    <w:uiPriority w:val="9"/>
    <w:rsid w:val="0008064B"/>
    <w:rPr>
      <w:rFonts w:ascii="Times New Roman" w:eastAsia="Times New Roman" w:hAnsi="Times New Roman"/>
      <w:b/>
      <w:bCs/>
      <w:iCs/>
      <w:sz w:val="30"/>
      <w:szCs w:val="28"/>
      <w:lang w:val="cs-CZ" w:eastAsia="en-US"/>
    </w:rPr>
  </w:style>
  <w:style w:type="paragraph" w:customStyle="1" w:styleId="EuroptrodeXTITLE">
    <w:name w:val="EuroptrodeX TITLE"/>
    <w:basedOn w:val="Normal"/>
    <w:link w:val="EuroptrodeXTITLEChar"/>
    <w:rsid w:val="00CB4BB2"/>
    <w:pPr>
      <w:spacing w:after="240"/>
    </w:pPr>
    <w:rPr>
      <w:rFonts w:ascii="Arial" w:eastAsia="Times New Roman" w:hAnsi="Arial" w:cs="Arial"/>
      <w:b/>
      <w:bCs/>
      <w:sz w:val="28"/>
      <w:szCs w:val="28"/>
      <w:lang w:val="en-US"/>
    </w:rPr>
  </w:style>
  <w:style w:type="character" w:customStyle="1" w:styleId="EuroptrodeXTITLEChar">
    <w:name w:val="EuroptrodeX TITLE Char"/>
    <w:link w:val="EuroptrodeXTITLE"/>
    <w:rsid w:val="0008064B"/>
    <w:rPr>
      <w:rFonts w:ascii="Arial" w:eastAsia="Times New Roman" w:hAnsi="Arial" w:cs="Arial"/>
      <w:b/>
      <w:bCs/>
      <w:sz w:val="28"/>
      <w:szCs w:val="28"/>
      <w:lang w:val="en-US" w:eastAsia="en-US"/>
    </w:rPr>
  </w:style>
  <w:style w:type="paragraph" w:customStyle="1" w:styleId="EuroptrodeXAuthors">
    <w:name w:val="EuroptrodeX Authors"/>
    <w:basedOn w:val="Normal"/>
    <w:link w:val="EuroptrodeXAuthorsChar"/>
    <w:rsid w:val="00CB4BB2"/>
    <w:pPr>
      <w:spacing w:after="240"/>
    </w:pPr>
    <w:rPr>
      <w:rFonts w:ascii="Arial" w:eastAsia="Times New Roman" w:hAnsi="Arial" w:cs="Arial"/>
      <w:b/>
      <w:bCs/>
      <w:lang w:val="en-US"/>
    </w:rPr>
  </w:style>
  <w:style w:type="character" w:customStyle="1" w:styleId="EuroptrodeXAuthorsChar">
    <w:name w:val="EuroptrodeX Authors Char"/>
    <w:link w:val="EuroptrodeXAuthors"/>
    <w:rsid w:val="00237380"/>
    <w:rPr>
      <w:rFonts w:ascii="Arial" w:eastAsia="Times New Roman" w:hAnsi="Arial" w:cs="Arial"/>
      <w:b/>
      <w:bCs/>
      <w:sz w:val="24"/>
      <w:szCs w:val="22"/>
      <w:lang w:val="en-US" w:eastAsia="en-US"/>
    </w:rPr>
  </w:style>
  <w:style w:type="paragraph" w:customStyle="1" w:styleId="EuroptrodeXAffiliation">
    <w:name w:val="EuroptrodeX Affiliation"/>
    <w:basedOn w:val="Normal"/>
    <w:link w:val="EuroptrodeXAffiliationCharChar"/>
    <w:rsid w:val="00CB4BB2"/>
    <w:rPr>
      <w:rFonts w:ascii="Arial" w:eastAsia="Times New Roman" w:hAnsi="Arial" w:cs="Arial"/>
      <w:i/>
      <w:iCs/>
      <w:lang w:val="en-US"/>
    </w:rPr>
  </w:style>
  <w:style w:type="character" w:customStyle="1" w:styleId="EuroptrodeXAffiliationCharChar">
    <w:name w:val="EuroptrodeX Affiliation Char Char"/>
    <w:link w:val="EuroptrodeXAffiliation"/>
    <w:locked/>
    <w:rsid w:val="00CB4BB2"/>
    <w:rPr>
      <w:rFonts w:ascii="Arial" w:eastAsia="Times New Roman" w:hAnsi="Arial" w:cs="Arial"/>
      <w:i/>
      <w:iCs/>
      <w:lang w:val="en-US"/>
    </w:rPr>
  </w:style>
  <w:style w:type="paragraph" w:customStyle="1" w:styleId="EuroptrodeXAbstracttext">
    <w:name w:val="EuroptrodeX Abstract text"/>
    <w:basedOn w:val="EuroptrodeXAffiliation"/>
    <w:link w:val="EuroptrodeXAbstracttextCharChar"/>
    <w:rsid w:val="00CB4BB2"/>
    <w:rPr>
      <w:i w:val="0"/>
      <w:iCs w:val="0"/>
      <w:sz w:val="20"/>
      <w:szCs w:val="20"/>
    </w:rPr>
  </w:style>
  <w:style w:type="character" w:customStyle="1" w:styleId="EuroptrodeXAbstracttextCharChar">
    <w:name w:val="EuroptrodeX Abstract text Char Char"/>
    <w:link w:val="EuroptrodeXAbstracttext"/>
    <w:locked/>
    <w:rsid w:val="00CB4BB2"/>
    <w:rPr>
      <w:rFonts w:ascii="Arial" w:eastAsia="Times New Roman" w:hAnsi="Arial" w:cs="Arial"/>
      <w:i/>
      <w:iCs/>
      <w:sz w:val="20"/>
      <w:szCs w:val="20"/>
      <w:lang w:val="en-US"/>
    </w:rPr>
  </w:style>
  <w:style w:type="paragraph" w:customStyle="1" w:styleId="EuroptrodeXFigurecaption">
    <w:name w:val="EuroptrodeX Figure caption"/>
    <w:basedOn w:val="EuroptrodeXAbstracttext"/>
    <w:rsid w:val="00CB4BB2"/>
    <w:pPr>
      <w:spacing w:before="60"/>
    </w:pPr>
    <w:rPr>
      <w:i/>
      <w:iCs/>
      <w:sz w:val="18"/>
      <w:szCs w:val="18"/>
    </w:rPr>
  </w:style>
  <w:style w:type="paragraph" w:customStyle="1" w:styleId="EuroptrodeXReferences">
    <w:name w:val="EuroptrodeX References"/>
    <w:basedOn w:val="EuroptrodeXAbstracttext"/>
    <w:rsid w:val="00CB4BB2"/>
  </w:style>
  <w:style w:type="paragraph" w:customStyle="1" w:styleId="EuroptrodeXAcknowledgement">
    <w:name w:val="EuroptrodeX Acknowledgement"/>
    <w:basedOn w:val="Normal"/>
    <w:rsid w:val="00CB4BB2"/>
    <w:rPr>
      <w:rFonts w:ascii="Arial" w:eastAsia="Times New Roman" w:hAnsi="Arial" w:cs="Arial"/>
      <w:sz w:val="18"/>
      <w:szCs w:val="18"/>
      <w:lang w:val="en-US"/>
    </w:rPr>
  </w:style>
  <w:style w:type="paragraph" w:customStyle="1" w:styleId="EuroptrodeXFigure">
    <w:name w:val="EuroptrodeX Figure"/>
    <w:basedOn w:val="EuroptrodeXAffiliation"/>
    <w:rsid w:val="00CB4BB2"/>
    <w:rPr>
      <w:i w:val="0"/>
      <w:iCs w:val="0"/>
    </w:rPr>
  </w:style>
  <w:style w:type="paragraph" w:customStyle="1" w:styleId="StylEuroptrodeXAffiliation10bPodtren">
    <w:name w:val="Styl EuroptrodeX Affiliation + 10 b. Podtržení"/>
    <w:basedOn w:val="EuroptrodeXAffiliation"/>
    <w:rsid w:val="00CB4BB2"/>
    <w:pPr>
      <w:spacing w:before="120" w:after="360"/>
    </w:pPr>
    <w:rPr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4B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A3929"/>
    <w:rPr>
      <w:color w:val="0563C1"/>
      <w:u w:val="single"/>
    </w:rPr>
  </w:style>
  <w:style w:type="paragraph" w:styleId="NoSpacing">
    <w:name w:val="No Spacing"/>
    <w:aliases w:val="CPBez mezer,Abstrakt - tělo"/>
    <w:next w:val="Normal"/>
    <w:link w:val="NoSpacingChar"/>
    <w:uiPriority w:val="1"/>
    <w:rsid w:val="0008064B"/>
    <w:pPr>
      <w:spacing w:after="200"/>
      <w:ind w:left="567" w:right="567" w:firstLine="340"/>
      <w:jc w:val="both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NoSpacingChar">
    <w:name w:val="No Spacing Char"/>
    <w:aliases w:val="CPBez mezer Char,Abstrakt - tělo Char"/>
    <w:link w:val="NoSpacing"/>
    <w:uiPriority w:val="1"/>
    <w:rsid w:val="000B77DF"/>
    <w:rPr>
      <w:rFonts w:ascii="Times New Roman" w:hAnsi="Times New Roman"/>
      <w:sz w:val="22"/>
      <w:szCs w:val="22"/>
      <w:lang w:val="cs-CZ" w:eastAsia="en-US"/>
    </w:rPr>
  </w:style>
  <w:style w:type="paragraph" w:customStyle="1" w:styleId="Title2">
    <w:name w:val="Title2"/>
    <w:basedOn w:val="Heading2"/>
    <w:next w:val="Text-1odstavec"/>
    <w:link w:val="Title2Char"/>
    <w:qFormat/>
    <w:rsid w:val="00EE2982"/>
    <w:rPr>
      <w:sz w:val="28"/>
    </w:rPr>
  </w:style>
  <w:style w:type="character" w:customStyle="1" w:styleId="Title2Char">
    <w:name w:val="Title2 Char"/>
    <w:link w:val="Title2"/>
    <w:rsid w:val="00EE2982"/>
    <w:rPr>
      <w:rFonts w:ascii="Times New Roman" w:eastAsia="Times New Roman" w:hAnsi="Times New Roman"/>
      <w:b/>
      <w:bCs/>
      <w:iCs/>
      <w:sz w:val="28"/>
      <w:szCs w:val="28"/>
      <w:lang w:val="cs-CZ" w:eastAsia="en-US"/>
    </w:rPr>
  </w:style>
  <w:style w:type="paragraph" w:customStyle="1" w:styleId="Title3">
    <w:name w:val="Title3"/>
    <w:basedOn w:val="Title2"/>
    <w:next w:val="Text-1odstavec"/>
    <w:link w:val="Title3Char"/>
    <w:qFormat/>
    <w:rsid w:val="00EE2982"/>
    <w:pPr>
      <w:spacing w:before="200" w:after="120"/>
    </w:pPr>
    <w:rPr>
      <w:b w:val="0"/>
      <w:sz w:val="22"/>
    </w:rPr>
  </w:style>
  <w:style w:type="character" w:customStyle="1" w:styleId="Title3Char">
    <w:name w:val="Title3 Char"/>
    <w:link w:val="Title3"/>
    <w:rsid w:val="00EE2982"/>
    <w:rPr>
      <w:rFonts w:ascii="Times New Roman" w:eastAsia="Times New Roman" w:hAnsi="Times New Roman"/>
      <w:bCs/>
      <w:iCs/>
      <w:sz w:val="22"/>
      <w:szCs w:val="28"/>
      <w:lang w:val="cs-CZ" w:eastAsia="en-US"/>
    </w:rPr>
  </w:style>
  <w:style w:type="paragraph" w:customStyle="1" w:styleId="Podkovn">
    <w:name w:val="Poděkování"/>
    <w:basedOn w:val="EuroptrodeXAbstracttext"/>
    <w:link w:val="PodkovnChar"/>
    <w:qFormat/>
    <w:rsid w:val="004C1145"/>
    <w:pPr>
      <w:tabs>
        <w:tab w:val="left" w:pos="6120"/>
      </w:tabs>
      <w:spacing w:before="360"/>
      <w:ind w:firstLine="0"/>
      <w:contextualSpacing/>
      <w:jc w:val="center"/>
    </w:pPr>
    <w:rPr>
      <w:rFonts w:ascii="Times New Roman" w:hAnsi="Times New Roman" w:cs="Times New Roman"/>
      <w:sz w:val="22"/>
      <w:szCs w:val="24"/>
      <w:lang w:val="cs-CZ"/>
    </w:rPr>
  </w:style>
  <w:style w:type="character" w:customStyle="1" w:styleId="PodkovnChar">
    <w:name w:val="Poděkování Char"/>
    <w:link w:val="Podkovn"/>
    <w:rsid w:val="004C1145"/>
    <w:rPr>
      <w:rFonts w:ascii="Times New Roman" w:eastAsia="Times New Roman" w:hAnsi="Times New Roman"/>
      <w:sz w:val="22"/>
      <w:szCs w:val="24"/>
      <w:lang w:val="cs-CZ" w:eastAsia="en-US"/>
    </w:rPr>
  </w:style>
  <w:style w:type="paragraph" w:customStyle="1" w:styleId="Autoi">
    <w:name w:val="Autoři"/>
    <w:basedOn w:val="Normal"/>
    <w:next w:val="Instituce"/>
    <w:link w:val="AutoiChar"/>
    <w:qFormat/>
    <w:rsid w:val="00EE2982"/>
    <w:pPr>
      <w:spacing w:after="180"/>
      <w:ind w:firstLine="0"/>
      <w:jc w:val="center"/>
    </w:pPr>
    <w:rPr>
      <w:rFonts w:eastAsia="Times New Roman"/>
      <w:bCs/>
      <w:szCs w:val="26"/>
      <w:lang w:val="en-US"/>
    </w:rPr>
  </w:style>
  <w:style w:type="character" w:customStyle="1" w:styleId="AutoiChar">
    <w:name w:val="Autoři Char"/>
    <w:link w:val="Autoi"/>
    <w:rsid w:val="00EE2982"/>
    <w:rPr>
      <w:rFonts w:ascii="Times New Roman" w:eastAsia="Times New Roman" w:hAnsi="Times New Roman"/>
      <w:bCs/>
      <w:sz w:val="24"/>
      <w:szCs w:val="26"/>
      <w:lang w:val="en-US" w:eastAsia="en-US"/>
    </w:rPr>
  </w:style>
  <w:style w:type="paragraph" w:customStyle="1" w:styleId="Nzev1">
    <w:name w:val="Název1"/>
    <w:basedOn w:val="Normal"/>
    <w:next w:val="Autoi"/>
    <w:link w:val="TitleChar"/>
    <w:qFormat/>
    <w:rsid w:val="00EE2982"/>
    <w:pPr>
      <w:keepNext/>
      <w:spacing w:after="200"/>
      <w:ind w:firstLine="0"/>
      <w:jc w:val="center"/>
      <w:outlineLvl w:val="0"/>
    </w:pPr>
    <w:rPr>
      <w:rFonts w:eastAsia="Times New Roman"/>
      <w:b/>
      <w:bCs/>
      <w:kern w:val="32"/>
      <w:sz w:val="28"/>
      <w:szCs w:val="32"/>
    </w:rPr>
  </w:style>
  <w:style w:type="character" w:customStyle="1" w:styleId="TitleChar">
    <w:name w:val="Title Char"/>
    <w:link w:val="Nzev1"/>
    <w:rsid w:val="00EE2982"/>
    <w:rPr>
      <w:rFonts w:ascii="Times New Roman" w:eastAsia="Times New Roman" w:hAnsi="Times New Roman"/>
      <w:b/>
      <w:bCs/>
      <w:kern w:val="32"/>
      <w:sz w:val="28"/>
      <w:szCs w:val="32"/>
      <w:lang w:val="cs-CZ" w:eastAsia="en-US"/>
    </w:rPr>
  </w:style>
  <w:style w:type="paragraph" w:customStyle="1" w:styleId="Instituce">
    <w:name w:val="Instituce"/>
    <w:basedOn w:val="Normal"/>
    <w:next w:val="Abstrakt-nadpis"/>
    <w:link w:val="InstituceChar"/>
    <w:qFormat/>
    <w:rsid w:val="00EE2982"/>
    <w:pPr>
      <w:ind w:firstLine="0"/>
      <w:jc w:val="center"/>
    </w:pPr>
    <w:rPr>
      <w:rFonts w:eastAsia="Times New Roman"/>
      <w:bCs/>
      <w:sz w:val="22"/>
      <w:szCs w:val="24"/>
    </w:rPr>
  </w:style>
  <w:style w:type="character" w:customStyle="1" w:styleId="InstituceChar">
    <w:name w:val="Instituce Char"/>
    <w:link w:val="Instituce"/>
    <w:rsid w:val="00EE2982"/>
    <w:rPr>
      <w:rFonts w:ascii="Times New Roman" w:eastAsia="Times New Roman" w:hAnsi="Times New Roman"/>
      <w:bCs/>
      <w:sz w:val="22"/>
      <w:szCs w:val="24"/>
      <w:lang w:val="cs-CZ" w:eastAsia="en-US"/>
    </w:rPr>
  </w:style>
  <w:style w:type="paragraph" w:customStyle="1" w:styleId="Abstrakt-nadpis">
    <w:name w:val="Abstrakt - nadpis"/>
    <w:basedOn w:val="Normal"/>
    <w:next w:val="Abstrak-tlo"/>
    <w:link w:val="Abstrakt-nadpisChar"/>
    <w:qFormat/>
    <w:rsid w:val="00A266BA"/>
    <w:pPr>
      <w:spacing w:before="200" w:after="60"/>
      <w:ind w:firstLine="0"/>
      <w:jc w:val="center"/>
      <w:outlineLvl w:val="1"/>
    </w:pPr>
    <w:rPr>
      <w:rFonts w:eastAsia="Times New Roman"/>
      <w:b/>
      <w:sz w:val="20"/>
      <w:szCs w:val="24"/>
    </w:rPr>
  </w:style>
  <w:style w:type="character" w:customStyle="1" w:styleId="Abstrakt-nadpisChar">
    <w:name w:val="Abstrakt - nadpis Char"/>
    <w:link w:val="Abstrakt-nadpis"/>
    <w:rsid w:val="00A266BA"/>
    <w:rPr>
      <w:rFonts w:ascii="Times New Roman" w:eastAsia="Times New Roman" w:hAnsi="Times New Roman"/>
      <w:b/>
      <w:szCs w:val="24"/>
      <w:lang w:val="cs-CZ" w:eastAsia="en-US"/>
    </w:rPr>
  </w:style>
  <w:style w:type="paragraph" w:customStyle="1" w:styleId="Abstrak-tlo">
    <w:name w:val="Abstrak - tělo"/>
    <w:basedOn w:val="NoSpacing"/>
    <w:next w:val="Klovslova"/>
    <w:link w:val="Abstrak-tloChar"/>
    <w:qFormat/>
    <w:rsid w:val="00EE2982"/>
    <w:rPr>
      <w:sz w:val="20"/>
    </w:rPr>
  </w:style>
  <w:style w:type="character" w:customStyle="1" w:styleId="Abstrak-tloChar">
    <w:name w:val="Abstrak - tělo Char"/>
    <w:basedOn w:val="NoSpacingChar"/>
    <w:link w:val="Abstrak-tlo"/>
    <w:rsid w:val="00EE2982"/>
    <w:rPr>
      <w:rFonts w:ascii="Times New Roman" w:hAnsi="Times New Roman"/>
      <w:sz w:val="22"/>
      <w:szCs w:val="22"/>
      <w:lang w:val="cs-CZ" w:eastAsia="en-US"/>
    </w:rPr>
  </w:style>
  <w:style w:type="paragraph" w:customStyle="1" w:styleId="Klovslova">
    <w:name w:val="Klíčová slova"/>
    <w:basedOn w:val="Normal"/>
    <w:next w:val="Title2"/>
    <w:link w:val="KlovslovaChar"/>
    <w:qFormat/>
    <w:rsid w:val="00562DC5"/>
    <w:pPr>
      <w:ind w:firstLine="0"/>
    </w:pPr>
    <w:rPr>
      <w:rFonts w:eastAsia="Times New Roman"/>
      <w:bCs/>
      <w:sz w:val="22"/>
      <w:szCs w:val="24"/>
    </w:rPr>
  </w:style>
  <w:style w:type="character" w:customStyle="1" w:styleId="KlovslovaChar">
    <w:name w:val="Klíčová slova Char"/>
    <w:link w:val="Klovslova"/>
    <w:rsid w:val="00562DC5"/>
    <w:rPr>
      <w:rFonts w:ascii="Times New Roman" w:eastAsia="Times New Roman" w:hAnsi="Times New Roman" w:cs="Arial"/>
      <w:b w:val="0"/>
      <w:bCs/>
      <w:sz w:val="22"/>
      <w:szCs w:val="24"/>
      <w:lang w:val="cs-CZ" w:eastAsia="en-US"/>
    </w:rPr>
  </w:style>
  <w:style w:type="paragraph" w:customStyle="1" w:styleId="Text">
    <w:name w:val="Text"/>
    <w:basedOn w:val="Normal"/>
    <w:link w:val="TextChar"/>
    <w:qFormat/>
    <w:rsid w:val="00EE2982"/>
    <w:rPr>
      <w:sz w:val="22"/>
    </w:rPr>
  </w:style>
  <w:style w:type="character" w:customStyle="1" w:styleId="TextChar">
    <w:name w:val="Text Char"/>
    <w:link w:val="Text"/>
    <w:rsid w:val="00EE2982"/>
    <w:rPr>
      <w:rFonts w:ascii="Times New Roman" w:hAnsi="Times New Roman"/>
      <w:sz w:val="22"/>
      <w:szCs w:val="22"/>
      <w:lang w:val="cs-CZ" w:eastAsia="en-US"/>
    </w:rPr>
  </w:style>
  <w:style w:type="paragraph" w:customStyle="1" w:styleId="Odrky">
    <w:name w:val="Odrážky"/>
    <w:basedOn w:val="Normal"/>
    <w:link w:val="OdrkyChar"/>
    <w:qFormat/>
    <w:rsid w:val="00EE2982"/>
    <w:pPr>
      <w:numPr>
        <w:numId w:val="15"/>
      </w:numPr>
      <w:ind w:left="681" w:hanging="284"/>
    </w:pPr>
    <w:rPr>
      <w:sz w:val="22"/>
    </w:rPr>
  </w:style>
  <w:style w:type="paragraph" w:customStyle="1" w:styleId="slovn">
    <w:name w:val="Číslování"/>
    <w:basedOn w:val="Odrky"/>
    <w:link w:val="slovnChar"/>
    <w:qFormat/>
    <w:rsid w:val="00EE2982"/>
    <w:pPr>
      <w:numPr>
        <w:numId w:val="16"/>
      </w:numPr>
      <w:ind w:left="681" w:hanging="284"/>
    </w:pPr>
  </w:style>
  <w:style w:type="character" w:customStyle="1" w:styleId="OdrkyChar">
    <w:name w:val="Odrážky Char"/>
    <w:link w:val="Odrky"/>
    <w:rsid w:val="00EE2982"/>
    <w:rPr>
      <w:rFonts w:ascii="Times New Roman" w:hAnsi="Times New Roman"/>
      <w:sz w:val="22"/>
      <w:szCs w:val="22"/>
      <w:lang w:val="cs-CZ" w:eastAsia="en-US"/>
    </w:rPr>
  </w:style>
  <w:style w:type="table" w:styleId="TableGrid">
    <w:name w:val="Table Grid"/>
    <w:basedOn w:val="TableNormal"/>
    <w:uiPriority w:val="59"/>
    <w:rsid w:val="00AC6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vnChar">
    <w:name w:val="Číslování Char"/>
    <w:basedOn w:val="OdrkyChar"/>
    <w:link w:val="slovn"/>
    <w:rsid w:val="00EE2982"/>
    <w:rPr>
      <w:rFonts w:ascii="Times New Roman" w:hAnsi="Times New Roman"/>
      <w:sz w:val="22"/>
      <w:szCs w:val="22"/>
      <w:lang w:val="cs-CZ" w:eastAsia="en-US"/>
    </w:rPr>
  </w:style>
  <w:style w:type="paragraph" w:styleId="Caption">
    <w:name w:val="caption"/>
    <w:aliases w:val="Popisek"/>
    <w:basedOn w:val="Normal"/>
    <w:next w:val="Normal"/>
    <w:uiPriority w:val="35"/>
    <w:unhideWhenUsed/>
    <w:qFormat/>
    <w:rsid w:val="00292986"/>
    <w:pPr>
      <w:spacing w:before="120" w:after="120"/>
      <w:ind w:firstLine="0"/>
      <w:jc w:val="center"/>
    </w:pPr>
    <w:rPr>
      <w:bCs/>
      <w:sz w:val="20"/>
      <w:szCs w:val="20"/>
    </w:rPr>
  </w:style>
  <w:style w:type="paragraph" w:customStyle="1" w:styleId="Reference">
    <w:name w:val="Reference"/>
    <w:basedOn w:val="Normal"/>
    <w:link w:val="ReferenceChar"/>
    <w:qFormat/>
    <w:rsid w:val="007D22B5"/>
    <w:pPr>
      <w:numPr>
        <w:numId w:val="17"/>
      </w:numPr>
      <w:autoSpaceDE w:val="0"/>
      <w:autoSpaceDN w:val="0"/>
      <w:adjustRightInd w:val="0"/>
      <w:ind w:left="397" w:hanging="397"/>
    </w:pPr>
    <w:rPr>
      <w:sz w:val="22"/>
    </w:rPr>
  </w:style>
  <w:style w:type="character" w:customStyle="1" w:styleId="ReferenceChar">
    <w:name w:val="Reference Char"/>
    <w:link w:val="Reference"/>
    <w:rsid w:val="007D22B5"/>
    <w:rPr>
      <w:rFonts w:ascii="Times New Roman" w:hAnsi="Times New Roman"/>
      <w:sz w:val="22"/>
      <w:szCs w:val="22"/>
      <w:lang w:val="cs-CZ" w:eastAsia="en-US"/>
    </w:rPr>
  </w:style>
  <w:style w:type="character" w:styleId="PlaceholderText">
    <w:name w:val="Placeholder Text"/>
    <w:basedOn w:val="DefaultParagraphFont"/>
    <w:uiPriority w:val="99"/>
    <w:semiHidden/>
    <w:rsid w:val="0027218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20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9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947"/>
    <w:rPr>
      <w:rFonts w:ascii="Times New Roman" w:hAnsi="Times New Roman"/>
      <w:lang w:val="cs-C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947"/>
    <w:rPr>
      <w:rFonts w:ascii="Times New Roman" w:hAnsi="Times New Roman"/>
      <w:b/>
      <w:bCs/>
      <w:lang w:val="cs-CZ" w:eastAsia="en-US"/>
    </w:rPr>
  </w:style>
  <w:style w:type="paragraph" w:styleId="Revision">
    <w:name w:val="Revision"/>
    <w:hidden/>
    <w:uiPriority w:val="99"/>
    <w:semiHidden/>
    <w:rsid w:val="00A009AA"/>
    <w:rPr>
      <w:rFonts w:ascii="Times New Roman" w:hAnsi="Times New Roman"/>
      <w:sz w:val="24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B035F-8130-43AC-AF92-6FE1E3A8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1634</Words>
  <Characters>9315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FJFI ČVUT</Company>
  <LinksUpToDate>false</LinksUpToDate>
  <CharactersWithSpaces>10928</CharactersWithSpaces>
  <SharedDoc>false</SharedDoc>
  <HLinks>
    <vt:vector size="12" baseType="variant">
      <vt:variant>
        <vt:i4>3014768</vt:i4>
      </vt:variant>
      <vt:variant>
        <vt:i4>3</vt:i4>
      </vt:variant>
      <vt:variant>
        <vt:i4>0</vt:i4>
      </vt:variant>
      <vt:variant>
        <vt:i4>5</vt:i4>
      </vt:variant>
      <vt:variant>
        <vt:lpwstr>https://ojs.cvut.cz/ojs/index.php/ap/about/submissions</vt:lpwstr>
      </vt:variant>
      <vt:variant>
        <vt:lpwstr>authorGuidelines</vt:lpwstr>
      </vt:variant>
      <vt:variant>
        <vt:i4>7602247</vt:i4>
      </vt:variant>
      <vt:variant>
        <vt:i4>0</vt:i4>
      </vt:variant>
      <vt:variant>
        <vt:i4>0</vt:i4>
      </vt:variant>
      <vt:variant>
        <vt:i4>5</vt:i4>
      </vt:variant>
      <vt:variant>
        <vt:lpwstr>mailto:republiky.autora@fjfi.cvut.cz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aubrejan</dc:creator>
  <cp:keywords/>
  <dc:description/>
  <cp:lastModifiedBy>office</cp:lastModifiedBy>
  <cp:revision>2</cp:revision>
  <cp:lastPrinted>2022-10-05T13:16:00Z</cp:lastPrinted>
  <dcterms:created xsi:type="dcterms:W3CDTF">2022-10-05T14:42:00Z</dcterms:created>
  <dcterms:modified xsi:type="dcterms:W3CDTF">2022-10-05T14:42:00Z</dcterms:modified>
</cp:coreProperties>
</file>